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left"/>
      </w:pPr>
      <w:r>
        <w:rPr/>
        <w:t>正文</w:t>
      </w: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自贡市城区地价动态监测项目（2023-2025年）</w:t>
      </w:r>
    </w:p>
    <w:p>
      <w:pPr>
        <w:pStyle w:val="null3"/>
        <w:jc w:val="center"/>
        <w:outlineLvl w:val="2"/>
      </w:pPr>
      <w:r>
        <w:rPr>
          <w:b/>
          <w:sz w:val="28"/>
        </w:rPr>
        <w:t>采购项目编号：</w:t>
      </w:r>
      <w:r>
        <w:rPr>
          <w:b/>
          <w:sz w:val="28"/>
        </w:rPr>
        <w:t>N5103012023000139</w:t>
      </w:r>
      <w:r>
        <w:br/>
      </w:r>
      <w:r>
        <w:br/>
      </w:r>
      <w:r>
        <w:br/>
      </w:r>
    </w:p>
    <w:p>
      <w:pPr>
        <w:pStyle w:val="null3"/>
        <w:jc w:val="center"/>
        <w:outlineLvl w:val="2"/>
      </w:pPr>
      <w:r>
        <w:rPr>
          <w:b/>
          <w:sz w:val="28"/>
        </w:rPr>
        <w:t>自贡市自然资源和规划局</w:t>
      </w:r>
    </w:p>
    <w:p>
      <w:pPr>
        <w:pStyle w:val="null3"/>
        <w:jc w:val="center"/>
        <w:outlineLvl w:val="2"/>
      </w:pPr>
      <w:r>
        <w:rPr>
          <w:b/>
          <w:sz w:val="28"/>
        </w:rPr>
        <w:t>安迅达工程咨询有限公司</w:t>
      </w:r>
      <w:r>
        <w:rPr>
          <w:b/>
          <w:sz w:val="28"/>
        </w:rPr>
        <w:t>共同编制</w:t>
      </w:r>
    </w:p>
    <w:p>
      <w:pPr>
        <w:pStyle w:val="null3"/>
        <w:jc w:val="center"/>
        <w:outlineLvl w:val="2"/>
      </w:pPr>
      <w:r>
        <w:rPr>
          <w:b/>
          <w:sz w:val="28"/>
        </w:rPr>
        <w:t>2023年05月18日</w:t>
      </w:r>
    </w:p>
    <w:p>
      <w:pPr>
        <w:pStyle w:val="null3"/>
      </w:pPr>
    </w:p>
    <w:p>
      <w:pPr>
        <w:pStyle w:val="null3"/>
      </w:pPr>
      <w:r>
        <w:rPr/>
        <w:t xml:space="preserve"> </w:t>
      </w:r>
    </w:p>
    <w:p>
      <w:pPr>
        <w:pStyle w:val="null3"/>
        <w:jc w:val="center"/>
        <w:outlineLvl w:val="1"/>
      </w:pPr>
      <w:r>
        <w:rPr>
          <w:b/>
          <w:sz w:val="36"/>
        </w:rPr>
        <w:t>第一章 竞争性磋商邀请</w:t>
      </w:r>
    </w:p>
    <w:p>
      <w:pPr>
        <w:pStyle w:val="null3"/>
        <w:ind w:firstLine="480"/>
      </w:pPr>
      <w:r>
        <w:rPr/>
        <w:t>安迅达工程咨询有限公司</w:t>
      </w:r>
      <w:r>
        <w:rPr/>
        <w:t>（以下简称“代理机构”）受</w:t>
      </w:r>
      <w:r>
        <w:rPr/>
        <w:t>自贡市自然资源和规划局</w:t>
      </w:r>
      <w:r>
        <w:rPr/>
        <w:t>委托，拟对</w:t>
      </w:r>
      <w:r>
        <w:rPr/>
        <w:t>自贡市城区地价动态监测项目（2023-2025年）</w:t>
      </w:r>
      <w:r>
        <w:rPr/>
        <w:t>采用竞争性磋商采购方式进行采购，兹邀请供应商参加本项目的竞争性磋商。</w:t>
      </w:r>
    </w:p>
    <w:p>
      <w:pPr>
        <w:pStyle w:val="null3"/>
        <w:outlineLvl w:val="2"/>
      </w:pPr>
      <w:r>
        <w:rPr>
          <w:b/>
          <w:sz w:val="28"/>
        </w:rPr>
        <w:t>一、项目编号：</w:t>
      </w:r>
      <w:r>
        <w:rPr>
          <w:b/>
          <w:sz w:val="28"/>
        </w:rPr>
        <w:t>N5103012023000139</w:t>
      </w:r>
    </w:p>
    <w:p>
      <w:pPr>
        <w:pStyle w:val="null3"/>
        <w:outlineLvl w:val="2"/>
      </w:pPr>
      <w:r>
        <w:rPr>
          <w:b/>
          <w:sz w:val="28"/>
        </w:rPr>
        <w:t>二、项目名称：</w:t>
      </w:r>
      <w:r>
        <w:rPr>
          <w:b/>
          <w:sz w:val="28"/>
        </w:rPr>
        <w:t>自贡市城区地价动态监测项目（2023-2025年）</w:t>
      </w:r>
    </w:p>
    <w:p>
      <w:pPr>
        <w:pStyle w:val="null3"/>
        <w:outlineLvl w:val="2"/>
      </w:pPr>
      <w:r>
        <w:rPr>
          <w:b/>
          <w:sz w:val="28"/>
        </w:rPr>
        <w:t>三、磋商项目简介</w:t>
      </w:r>
    </w:p>
    <w:p>
      <w:pPr>
        <w:pStyle w:val="null3"/>
        <w:ind w:firstLine="480"/>
      </w:pPr>
      <w:r>
        <w:rPr/>
        <w:t>自贡市城市地价动态监测维护工作的任务目标是以城市标准宗地为核心，开展标准宗地及地价相关指标数据采集与维护，按照国家要求上报数据，保障城市地价动态监测数据源的及时、真实、准确、完备以及规范，为国土部门参与宏观调控提供基础数据。</w:t>
      </w:r>
    </w:p>
    <w:p>
      <w:pPr>
        <w:pStyle w:val="null3"/>
        <w:outlineLvl w:val="2"/>
      </w:pPr>
      <w:r>
        <w:rPr>
          <w:b/>
          <w:sz w:val="28"/>
        </w:rPr>
        <w:t>四、邀请供应商</w:t>
      </w:r>
    </w:p>
    <w:p>
      <w:pPr>
        <w:pStyle w:val="null3"/>
      </w:pPr>
    </w:p>
    <w:p>
      <w:pPr>
        <w:pStyle w:val="null3"/>
      </w:pPr>
    </w:p>
    <w:p>
      <w:pPr>
        <w:pStyle w:val="null3"/>
      </w:pPr>
      <w:r>
        <w:rPr/>
        <w:t>本次采购采取公告征集邀请磋商的供应商。</w:t>
      </w:r>
    </w:p>
    <w:p>
      <w:pPr>
        <w:pStyle w:val="null3"/>
      </w:pPr>
      <w:r>
        <w:rPr/>
        <w:t>公告征集：本次竞争性磋商在“四川政府采购网（www.ccgp-sichuan.gov.cn）”上以公告形式发布，兹邀请符合本次采购要求的供应商参加本项目的竞争性磋商。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p>
    <w:p>
      <w:pPr>
        <w:pStyle w:val="null3"/>
      </w:pPr>
    </w:p>
    <w:p>
      <w:pPr>
        <w:pStyle w:val="null3"/>
      </w:pPr>
      <w:r>
        <w:rPr/>
        <w:t>采购包1（合同包一）：属于专门面向中小企业采购。</w:t>
      </w:r>
    </w:p>
    <w:p>
      <w:pPr>
        <w:pStyle w:val="null3"/>
        <w:ind w:firstLine="480"/>
      </w:pPr>
      <w:r>
        <w:rPr/>
        <w:t>注：监狱企业和残疾人福利性单位视同小微企业，符合中小企业划分标准的个体工商户视同中小企业。</w:t>
      </w:r>
    </w:p>
    <w:p>
      <w:pPr>
        <w:pStyle w:val="null3"/>
        <w:ind w:firstLine="480"/>
      </w:pPr>
      <w:r>
        <w:rPr/>
        <w:t>（三）本项目的特定资格要求：</w:t>
      </w:r>
    </w:p>
    <w:p>
      <w:pPr>
        <w:pStyle w:val="null3"/>
      </w:pPr>
    </w:p>
    <w:p>
      <w:pPr>
        <w:pStyle w:val="null3"/>
      </w:pPr>
    </w:p>
    <w:p>
      <w:pPr>
        <w:pStyle w:val="null3"/>
      </w:pPr>
    </w:p>
    <w:p>
      <w:pPr>
        <w:pStyle w:val="null3"/>
      </w:pPr>
      <w:r>
        <w:rPr/>
        <w:t>采购包1：</w:t>
      </w:r>
    </w:p>
    <w:p>
      <w:pPr>
        <w:pStyle w:val="null3"/>
      </w:pPr>
      <w:r>
        <w:rPr/>
        <w:t>无</w:t>
      </w:r>
    </w:p>
    <w:p>
      <w:pPr>
        <w:pStyle w:val="null3"/>
        <w:outlineLvl w:val="2"/>
      </w:pPr>
      <w:r>
        <w:rPr>
          <w:b/>
          <w:sz w:val="28"/>
        </w:rPr>
        <w:t>六、电子化采购相关事项</w:t>
      </w:r>
    </w:p>
    <w:p>
      <w:pPr>
        <w:pStyle w:val="null3"/>
        <w:ind w:firstLine="480"/>
      </w:pPr>
      <w:r>
        <w:rPr/>
        <w:t>本项目实行电子化采购，使用的电子化交易系统为：四川省政府采购一体化平台（以下简称“采购一体化平台”）的项目电子化交易系统（以下简称项目电子化交易系统），登录方式及地址：通过四川政府采购网（www.ccgp-sichuan.gov.cn）首页供应商用户登录采购一体化平台，进入项目电子化交易系统。供应商应当按照以下要求，参与本次电子化采购活动。</w:t>
      </w:r>
    </w:p>
    <w:p>
      <w:pPr>
        <w:pStyle w:val="null3"/>
        <w:ind w:firstLine="480"/>
      </w:pPr>
      <w:r>
        <w:rPr/>
        <w:t>（一）供应商应当自行在四川政府采购网-办事指南查看相应的系统操作指南，并严格按照操作指南要求进行系统操作。在登录、使用采购一体化平台前，应当按照要求完成供应商注册和信息完善，加入采购一体化平台供应商库。</w:t>
      </w:r>
    </w:p>
    <w:p>
      <w:pPr>
        <w:pStyle w:val="null3"/>
        <w:ind w:firstLine="480"/>
      </w:pPr>
      <w:r>
        <w:rPr/>
        <w:t>（二）供应商应当使用纳入全国公共资源交易平台（四川省）数字证书互认范围的数字证书及签章（以下简称“互认的证书及签章”）进行系统操作。供应商使用互认的证书及签章登录采购一体化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四川政府采购网-办事指南。</w:t>
      </w:r>
    </w:p>
    <w:p>
      <w:pPr>
        <w:pStyle w:val="null3"/>
        <w:ind w:firstLine="480"/>
      </w:pPr>
      <w:r>
        <w:rPr/>
        <w:t>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在线客服：通过四川政府采购网-在线客服进行咨询</w:t>
      </w:r>
    </w:p>
    <w:p>
      <w:pPr>
        <w:pStyle w:val="null3"/>
        <w:ind w:firstLine="480"/>
      </w:pPr>
      <w:r>
        <w:rPr/>
        <w:t>400服务电话：4001600900</w:t>
      </w:r>
    </w:p>
    <w:p>
      <w:pPr>
        <w:pStyle w:val="null3"/>
        <w:ind w:firstLine="480"/>
      </w:pPr>
      <w:r>
        <w:rPr/>
        <w:t>CA及签章服务：通过四川政府采购网-办事指南进行查询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二）在磋商文件获取开始时间前，采购人或代理机构将本项目磋商文件上传至项目电子化交易系统，免费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成功获取磋商文件后，采购人或代理机构进行澄清或者修改的，澄清或者修改的内容可能影响响应文件编制的，采购人或代理机构将通过项目电子化交易系统发布澄清或者修改后的磋商文件，供应商应当重新获取磋商文件。供应商未重新获取磋商文件或者未按照澄清或者修改后的磋商文件编制响应文件进行响应的，自行承担不利后果。</w:t>
      </w:r>
    </w:p>
    <w:p>
      <w:pPr>
        <w:pStyle w:val="null3"/>
        <w:ind w:firstLine="480"/>
        <w:jc w:val="left"/>
      </w:pPr>
      <w:r>
        <w:rPr/>
        <w:t>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根据《四川省财政厅关于推进四川省政府釆购供应商信用融资工作的通知》（川财采﹝2018﹞123号）文件，为助力解决政府采购成交供应商资金不足、融资难、融资贵的困难，促进供应商依法诚信参加政府采购活动，有融资需求的供应商可登录四川政府釆购网—金融服务平台，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采购人：</w:t>
      </w:r>
      <w:r>
        <w:rPr>
          <w:b/>
          <w:sz w:val="24"/>
        </w:rPr>
        <w:t>自贡市自然资源和规划局</w:t>
      </w:r>
    </w:p>
    <w:p>
      <w:pPr>
        <w:pStyle w:val="null3"/>
      </w:pPr>
    </w:p>
    <w:p>
      <w:pPr>
        <w:pStyle w:val="null3"/>
      </w:pPr>
    </w:p>
    <w:p>
      <w:pPr>
        <w:pStyle w:val="null3"/>
      </w:pPr>
      <w:r>
        <w:rPr/>
        <w:t>地址：</w:t>
      </w:r>
      <w:r>
        <w:rPr/>
        <w:t>自贡市汇东新区丹桂北大街326号</w:t>
      </w:r>
    </w:p>
    <w:p>
      <w:pPr>
        <w:pStyle w:val="null3"/>
      </w:pPr>
      <w:r>
        <w:rPr/>
        <w:t>邮编：</w:t>
      </w:r>
      <w:r>
        <w:rPr/>
        <w:t>643000</w:t>
      </w:r>
    </w:p>
    <w:p>
      <w:pPr>
        <w:pStyle w:val="null3"/>
      </w:pPr>
      <w:r>
        <w:rPr/>
        <w:t>联系人：</w:t>
      </w:r>
      <w:r>
        <w:rPr/>
        <w:t>夏雷</w:t>
      </w:r>
    </w:p>
    <w:p>
      <w:pPr>
        <w:pStyle w:val="null3"/>
      </w:pPr>
      <w:r>
        <w:rPr/>
        <w:t>联系电话：</w:t>
      </w:r>
      <w:r>
        <w:rPr/>
        <w:t>0813-8207135</w:t>
      </w:r>
    </w:p>
    <w:p>
      <w:pPr>
        <w:pStyle w:val="null3"/>
        <w:outlineLvl w:val="3"/>
      </w:pPr>
      <w:r>
        <w:rPr>
          <w:b/>
          <w:sz w:val="24"/>
        </w:rPr>
        <w:t>代理机构：</w:t>
      </w:r>
      <w:r>
        <w:rPr>
          <w:b/>
          <w:sz w:val="24"/>
        </w:rPr>
        <w:t>安迅达工程咨询有限公司</w:t>
      </w:r>
    </w:p>
    <w:p>
      <w:pPr>
        <w:pStyle w:val="null3"/>
      </w:pPr>
    </w:p>
    <w:p>
      <w:pPr>
        <w:pStyle w:val="null3"/>
      </w:pPr>
    </w:p>
    <w:p>
      <w:pPr>
        <w:pStyle w:val="null3"/>
      </w:pPr>
      <w:r>
        <w:rPr/>
        <w:t>地址：</w:t>
      </w:r>
      <w:r>
        <w:rPr/>
        <w:t>自贡市自流井区西苑街65号</w:t>
      </w:r>
    </w:p>
    <w:p>
      <w:pPr>
        <w:pStyle w:val="null3"/>
      </w:pPr>
      <w:r>
        <w:rPr/>
        <w:t>邮编：</w:t>
      </w:r>
      <w:r>
        <w:rPr/>
        <w:t>643000</w:t>
      </w:r>
    </w:p>
    <w:p>
      <w:pPr>
        <w:pStyle w:val="null3"/>
      </w:pPr>
      <w:r>
        <w:rPr/>
        <w:t>联系人：</w:t>
      </w:r>
      <w:r>
        <w:rPr/>
        <w:t>代女士</w:t>
      </w:r>
    </w:p>
    <w:p>
      <w:pPr>
        <w:pStyle w:val="null3"/>
      </w:pPr>
      <w:r>
        <w:rPr/>
        <w:t>联系电话：</w:t>
      </w:r>
      <w:r>
        <w:rPr/>
        <w:t>0813-6682888</w:t>
      </w:r>
    </w:p>
    <w:p>
      <w:pPr>
        <w:pStyle w:val="null3"/>
        <w:outlineLvl w:val="3"/>
      </w:pPr>
      <w:r>
        <w:rPr>
          <w:b/>
          <w:sz w:val="24"/>
        </w:rPr>
        <w:t>采购监督机构：</w:t>
      </w:r>
      <w:r>
        <w:rPr>
          <w:b/>
          <w:sz w:val="24"/>
        </w:rPr>
        <w:t>自贡市财政局</w:t>
      </w:r>
    </w:p>
    <w:p>
      <w:pPr>
        <w:pStyle w:val="null3"/>
        <w:ind w:firstLine="480"/>
      </w:pPr>
      <w:r>
        <w:rPr/>
        <w:t>联系人：</w:t>
      </w:r>
      <w:r>
        <w:rPr/>
        <w:t>吴女士</w:t>
      </w:r>
    </w:p>
    <w:p>
      <w:pPr>
        <w:pStyle w:val="null3"/>
        <w:ind w:firstLine="480"/>
      </w:pPr>
      <w:r>
        <w:rPr/>
        <w:t>联系电话：</w:t>
      </w:r>
      <w:r>
        <w:rPr/>
        <w:t>0813-2110917</w:t>
      </w:r>
    </w:p>
    <w:p>
      <w:pPr>
        <w:pStyle w:val="null3"/>
      </w:pP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p>
          <w:p>
            <w:pPr>
              <w:pStyle w:val="null3"/>
            </w:pPr>
            <w:r>
              <w:rPr/>
              <w:t>采购包1：447,000.00元</w:t>
            </w:r>
            <w:r>
              <w:rPr/>
              <w:t>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p>
          <w:p>
            <w:pPr>
              <w:pStyle w:val="null3"/>
            </w:pPr>
            <w:r>
              <w:rPr/>
              <w:t>采购包1：不接受</w:t>
            </w:r>
          </w:p>
        </w:tc>
      </w:tr>
      <w:tr>
        <w:tc>
          <w:tcPr>
            <w:tcW w:type="dxa" w:w="1051"/>
          </w:tcPr>
          <w:p>
            <w:pPr>
              <w:pStyle w:val="null3"/>
            </w:pPr>
            <w:r>
              <w:rPr/>
              <w:t>5</w:t>
            </w:r>
          </w:p>
        </w:tc>
        <w:tc>
          <w:tcPr>
            <w:tcW w:type="dxa" w:w="2252"/>
          </w:tcPr>
          <w:p>
            <w:pPr>
              <w:pStyle w:val="null3"/>
            </w:pPr>
            <w:r>
              <w:rPr/>
              <w:t>落实节能、环保、无线局域网、信息安全产品政策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p>
            <w:pPr>
              <w:pStyle w:val="null3"/>
            </w:pPr>
            <w:r>
              <w:rPr/>
              <w:t>5.本项目采购</w:t>
            </w:r>
            <w:r>
              <w:rPr/>
              <w:t>无</w:t>
            </w:r>
            <w:r>
              <w:rPr/>
              <w:t>产品属于信息安全产品，根据《关于信息安全产品实施政府采购的通知》（财库〔2010〕48号）的要求，供应商应当提供由中国网络安全审查技术与认证中心按国家标准认证颁发的有效认证证书和销售许可证，否则其响应文件将被视为无效响应处理。具体详见《信息安全产品强制性认证目录》。（实质性要求）</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应当加盖供应商公章，在磋商小组要求的时间内通过项目电子化交易系统进行提交，否则视为不能证明其响应报价合理性。供应商不能证明其响应报价合理性的，磋商小组应当将其响应文件作为无效处理。（注：供应商报价低于最高限价50%或者低于其他有效供应商报价算术平均价40%的，磋商小组可以认为该供应商“报价明显低于其他实质性响应的供应商报价”。）</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本项目不收取磋商保证金。</w:t>
            </w:r>
          </w:p>
        </w:tc>
      </w:tr>
      <w:tr>
        <w:tc>
          <w:tcPr>
            <w:tcW w:type="dxa" w:w="1051"/>
          </w:tcPr>
          <w:p>
            <w:pPr>
              <w:pStyle w:val="null3"/>
            </w:pPr>
            <w:r>
              <w:rPr/>
              <w:t>10</w:t>
            </w:r>
          </w:p>
        </w:tc>
        <w:tc>
          <w:tcPr>
            <w:tcW w:type="dxa" w:w="2252"/>
          </w:tcPr>
          <w:p>
            <w:pPr>
              <w:pStyle w:val="null3"/>
            </w:pPr>
            <w:r>
              <w:rPr/>
              <w:t>履约保证金（实质性要求）</w:t>
            </w:r>
          </w:p>
        </w:tc>
        <w:tc>
          <w:tcPr>
            <w:tcW w:type="dxa" w:w="5004"/>
          </w:tcPr>
          <w:p>
            <w:pPr>
              <w:pStyle w:val="null3"/>
            </w:pPr>
          </w:p>
          <w:p>
            <w:pPr>
              <w:pStyle w:val="null3"/>
            </w:pPr>
          </w:p>
          <w:p>
            <w:pPr>
              <w:pStyle w:val="null3"/>
            </w:pPr>
            <w:r>
              <w:rPr/>
              <w:t>采购包1：不缴纳</w:t>
            </w:r>
          </w:p>
        </w:tc>
      </w:tr>
      <w:tr>
        <w:tc>
          <w:tcPr>
            <w:tcW w:type="dxa" w:w="1051"/>
          </w:tcPr>
          <w:p>
            <w:pPr>
              <w:pStyle w:val="null3"/>
            </w:pPr>
            <w:r>
              <w:rPr/>
              <w:t>11</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12</w:t>
            </w:r>
          </w:p>
        </w:tc>
        <w:tc>
          <w:tcPr>
            <w:tcW w:type="dxa" w:w="2252"/>
          </w:tcPr>
          <w:p>
            <w:pPr>
              <w:pStyle w:val="null3"/>
            </w:pPr>
            <w:r>
              <w:rPr/>
              <w:t>招标代理服务费（实质性要求）</w:t>
            </w:r>
          </w:p>
        </w:tc>
        <w:tc>
          <w:tcPr>
            <w:tcW w:type="dxa" w:w="5004"/>
          </w:tcPr>
          <w:p>
            <w:pPr>
              <w:pStyle w:val="null3"/>
            </w:pPr>
          </w:p>
          <w:p>
            <w:pPr>
              <w:pStyle w:val="null3"/>
            </w:pPr>
            <w:r>
              <w:rPr/>
              <w:t>本项目收取代理服务费</w:t>
            </w:r>
          </w:p>
          <w:p>
            <w:pPr>
              <w:pStyle w:val="null3"/>
            </w:pPr>
            <w:r>
              <w:rPr/>
              <w:t>代理服务费用收取对象：中标/成交供应商</w:t>
            </w:r>
          </w:p>
          <w:p>
            <w:pPr>
              <w:pStyle w:val="null3"/>
            </w:pPr>
            <w:r>
              <w:rPr/>
              <w:t>代理服务费收费标准：按照《招标代理服务收费管理暂行办法》（计价格 [2002]1980 号）收费标准下浮20%收取。  开户名称：安迅达工程咨询有限公司富洲分公司； 开 户 行：中国工商银行股份有限公司自贡分行； 账 号：2303303109100080745</w:t>
            </w:r>
          </w:p>
        </w:tc>
      </w:tr>
      <w:tr>
        <w:tc>
          <w:tcPr>
            <w:tcW w:type="dxa" w:w="1051"/>
          </w:tcPr>
          <w:p>
            <w:pPr>
              <w:pStyle w:val="null3"/>
            </w:pPr>
            <w:r>
              <w:rPr/>
              <w:t>13</w:t>
            </w:r>
          </w:p>
        </w:tc>
        <w:tc>
          <w:tcPr>
            <w:tcW w:type="dxa" w:w="2252"/>
          </w:tcPr>
          <w:p>
            <w:pPr>
              <w:pStyle w:val="null3"/>
            </w:pPr>
            <w:r>
              <w:rPr/>
              <w:t>采购结果公告</w:t>
            </w:r>
          </w:p>
        </w:tc>
        <w:tc>
          <w:tcPr>
            <w:tcW w:type="dxa" w:w="5004"/>
          </w:tcPr>
          <w:p>
            <w:pPr>
              <w:pStyle w:val="null3"/>
            </w:pPr>
            <w:r>
              <w:rPr/>
              <w:t>采购结果将在四川政府采购网予以公告。</w:t>
            </w:r>
          </w:p>
        </w:tc>
      </w:tr>
      <w:tr>
        <w:tc>
          <w:tcPr>
            <w:tcW w:type="dxa" w:w="1051"/>
          </w:tcPr>
          <w:p>
            <w:pPr>
              <w:pStyle w:val="null3"/>
            </w:pPr>
            <w:r>
              <w:rPr/>
              <w:t>14</w:t>
            </w:r>
          </w:p>
        </w:tc>
        <w:tc>
          <w:tcPr>
            <w:tcW w:type="dxa" w:w="2252"/>
          </w:tcPr>
          <w:p>
            <w:pPr>
              <w:pStyle w:val="null3"/>
            </w:pPr>
            <w:r>
              <w:rPr/>
              <w:t>成交通知书</w:t>
            </w:r>
          </w:p>
        </w:tc>
        <w:tc>
          <w:tcPr>
            <w:tcW w:type="dxa" w:w="5004"/>
          </w:tcPr>
          <w:p>
            <w:pPr>
              <w:pStyle w:val="null3"/>
            </w:pPr>
            <w:r>
              <w:rPr/>
              <w:t>采购结果公告后，采购人或代理机构通过项目电子化交易系统向成交供应商发出成交通知书；成交供应商通过项目电子化交易系统获取成交通知书。</w:t>
            </w:r>
          </w:p>
        </w:tc>
      </w:tr>
      <w:tr>
        <w:tc>
          <w:tcPr>
            <w:tcW w:type="dxa" w:w="1051"/>
          </w:tcPr>
          <w:p>
            <w:pPr>
              <w:pStyle w:val="null3"/>
            </w:pPr>
            <w:r>
              <w:rPr/>
              <w:t>15</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政府采购合同签订之日起2个工作日内，采购人将政府采购合同在四川政府采购网予以公告；政府采购合同签订之日起7个工作日内，采购人将政府采购合同报本级财政部门备案。</w:t>
            </w:r>
          </w:p>
        </w:tc>
      </w:tr>
      <w:tr>
        <w:tc>
          <w:tcPr>
            <w:tcW w:type="dxa" w:w="1051"/>
          </w:tcPr>
          <w:p>
            <w:pPr>
              <w:pStyle w:val="null3"/>
            </w:pPr>
            <w:r>
              <w:rPr/>
              <w:t>16</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17</w:t>
            </w:r>
          </w:p>
        </w:tc>
        <w:tc>
          <w:tcPr>
            <w:tcW w:type="dxa" w:w="2252"/>
          </w:tcPr>
          <w:p>
            <w:pPr>
              <w:pStyle w:val="null3"/>
            </w:pPr>
            <w:r>
              <w:rPr/>
              <w:t>是否组织潜在供应商现场考察</w:t>
            </w:r>
          </w:p>
        </w:tc>
        <w:tc>
          <w:tcPr>
            <w:tcW w:type="dxa" w:w="5004"/>
          </w:tcPr>
          <w:p>
            <w:pPr>
              <w:pStyle w:val="null3"/>
            </w:pPr>
          </w:p>
          <w:p>
            <w:pPr>
              <w:pStyle w:val="null3"/>
            </w:pPr>
          </w:p>
          <w:p>
            <w:pPr>
              <w:pStyle w:val="null3"/>
            </w:pPr>
            <w:r>
              <w:rPr/>
              <w:t>采购包1：组织现场踏勘：否</w:t>
            </w:r>
          </w:p>
        </w:tc>
      </w:tr>
      <w:tr>
        <w:tc>
          <w:tcPr>
            <w:tcW w:type="dxa" w:w="1051"/>
          </w:tcPr>
          <w:p>
            <w:pPr>
              <w:pStyle w:val="null3"/>
            </w:pPr>
            <w:r>
              <w:rPr/>
              <w:t>18</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r>
        <w:tc>
          <w:tcPr>
            <w:tcW w:type="dxa" w:w="1051"/>
          </w:tcPr>
          <w:p>
            <w:pPr>
              <w:pStyle w:val="null3"/>
            </w:pPr>
            <w:r>
              <w:rPr/>
              <w:t>19</w:t>
            </w:r>
          </w:p>
        </w:tc>
        <w:tc>
          <w:tcPr>
            <w:tcW w:type="dxa" w:w="2252"/>
          </w:tcPr>
          <w:p>
            <w:pPr>
              <w:pStyle w:val="null3"/>
            </w:pPr>
            <w:r>
              <w:rPr/>
              <w:t>报价/分值精确度</w:t>
            </w:r>
          </w:p>
        </w:tc>
        <w:tc>
          <w:tcPr>
            <w:tcW w:type="dxa" w:w="5004"/>
          </w:tcPr>
          <w:p>
            <w:pPr>
              <w:pStyle w:val="null3"/>
            </w:pPr>
            <w:r>
              <w:rPr/>
              <w:t>报价/分值精确度仅保留“所有数据项默认最多可输入/展示至小数点后2位，超出小数点位的数值采用四舍五入的方式进行精确。”</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一、本磋商文件仅适用于本次竞争性磋商采购项目。</w:t>
      </w:r>
    </w:p>
    <w:p>
      <w:pPr>
        <w:pStyle w:val="null3"/>
        <w:ind w:firstLine="480"/>
      </w:pPr>
      <w:r>
        <w:rPr/>
        <w:t>二、本磋商文件的最终解释权由</w:t>
      </w:r>
      <w:r>
        <w:rPr/>
        <w:t>自贡市自然资源和规划局</w:t>
      </w:r>
      <w:r>
        <w:rPr/>
        <w:t>和</w:t>
      </w:r>
      <w:r>
        <w:rPr/>
        <w:t>安迅达工程咨询有限公司</w:t>
      </w:r>
      <w:r>
        <w:rPr/>
        <w:t>享有。对磋商文件中供应商参加本次政府采购活动应当具备的条件，磋商项目技术、服务、商务及其他要求，评审细则及标准由</w:t>
      </w:r>
      <w:r>
        <w:rPr/>
        <w:t>自贡市自然资源和规划局</w:t>
      </w:r>
      <w:r>
        <w:rPr/>
        <w:t>负责解释。除上述磋商文件内容，其他内容由</w:t>
      </w:r>
      <w:r>
        <w:rPr/>
        <w:t>安迅达工程咨询有限公司</w:t>
      </w:r>
      <w:r>
        <w:rPr/>
        <w:t>负责解释。</w:t>
      </w:r>
    </w:p>
    <w:p>
      <w:pPr>
        <w:pStyle w:val="null3"/>
        <w:outlineLvl w:val="3"/>
      </w:pPr>
      <w:r>
        <w:rPr>
          <w:b/>
          <w:sz w:val="24"/>
        </w:rPr>
        <w:t>2.2.2有关定义</w:t>
      </w:r>
    </w:p>
    <w:p>
      <w:pPr>
        <w:pStyle w:val="null3"/>
        <w:ind w:firstLine="480"/>
      </w:pPr>
      <w:r>
        <w:rPr/>
        <w:t>一、“采购人”是指依法进行政府采购的各级国家机关、事业单位、团体组织。本次磋商的采购人是</w:t>
      </w:r>
      <w:r>
        <w:rPr/>
        <w:t>自贡市自然资源和规划局</w:t>
      </w:r>
      <w:r>
        <w:rPr/>
        <w:t>。</w:t>
      </w:r>
    </w:p>
    <w:p>
      <w:pPr>
        <w:pStyle w:val="null3"/>
        <w:ind w:firstLine="480"/>
      </w:pPr>
      <w:r>
        <w:rPr/>
        <w:t>二、“供应商”是指在按照磋商公告规定获取磋商文件，拟参加响应和向采购人提供货物及相应服务的法人、其他组织或自然人。</w:t>
      </w:r>
    </w:p>
    <w:p>
      <w:pPr>
        <w:pStyle w:val="null3"/>
        <w:ind w:firstLine="480"/>
      </w:pPr>
      <w:r>
        <w:rPr/>
        <w:t>三、“代理机构”是指政府采购集中采购机构和从事政府采购代理业务的社会中介机构。本项目的代理机构是</w:t>
      </w:r>
      <w:r>
        <w:rPr/>
        <w:t>安迅达工程咨询有限公司</w:t>
      </w:r>
      <w:r>
        <w:rPr/>
        <w:t>。</w:t>
      </w:r>
    </w:p>
    <w:p>
      <w:pPr>
        <w:pStyle w:val="null3"/>
        <w:ind w:firstLine="480"/>
      </w:pPr>
      <w:r>
        <w:rPr/>
        <w:t>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五、“电子评审”是指通过项目电子化交易系统在线完成磋商小组组建，开展资格和符合性审查、比较与评价、出具磋商报告、推荐成交候选供应商等活动。</w:t>
      </w:r>
    </w:p>
    <w:p>
      <w:pPr>
        <w:pStyle w:val="null3"/>
        <w:outlineLvl w:val="3"/>
      </w:pPr>
      <w:r>
        <w:rPr>
          <w:b/>
          <w:sz w:val="24"/>
        </w:rPr>
        <w:t>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2.3.1磋商文件的构成</w:t>
      </w:r>
    </w:p>
    <w:p>
      <w:pPr>
        <w:pStyle w:val="null3"/>
        <w:ind w:firstLine="480"/>
      </w:pPr>
      <w:r>
        <w:rPr/>
        <w:t>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（四）磋商过程中可实质性变动的内容；</w:t>
      </w:r>
    </w:p>
    <w:p>
      <w:pPr>
        <w:pStyle w:val="null3"/>
        <w:ind w:firstLine="480"/>
      </w:pPr>
      <w:r>
        <w:rPr/>
        <w:t>（五）磋商办法；</w:t>
      </w:r>
    </w:p>
    <w:p>
      <w:pPr>
        <w:pStyle w:val="null3"/>
        <w:ind w:firstLine="480"/>
      </w:pPr>
      <w:r>
        <w:rPr/>
        <w:t>（六）响应文件格式；</w:t>
      </w:r>
    </w:p>
    <w:p>
      <w:pPr>
        <w:pStyle w:val="null3"/>
        <w:ind w:firstLine="480"/>
      </w:pPr>
      <w:r>
        <w:rPr/>
        <w:t>（七）拟签订采购合同文本。</w:t>
      </w:r>
    </w:p>
    <w:p>
      <w:pPr>
        <w:pStyle w:val="null3"/>
        <w:ind w:firstLine="480"/>
      </w:pPr>
      <w:r>
        <w:rPr/>
        <w:t>二、供应商应认真阅读和充分理解磋商文件中所有的事项、格式条款和规范要求。供应商没有对磋商文件全面作出实质性响应所产生的风险由供应商承担。</w:t>
      </w:r>
    </w:p>
    <w:p>
      <w:pPr>
        <w:pStyle w:val="null3"/>
        <w:outlineLvl w:val="3"/>
      </w:pPr>
      <w:r>
        <w:rPr>
          <w:b/>
          <w:sz w:val="24"/>
        </w:rPr>
        <w:t>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二、澄清或者修改的内容为磋商文件的组成部分，采购人或者代理机构将在四川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2.4.2计量单位（实质性要求）</w:t>
      </w:r>
    </w:p>
    <w:p>
      <w:pPr>
        <w:pStyle w:val="null3"/>
        <w:ind w:firstLine="480"/>
      </w:pPr>
      <w:r>
        <w:rPr/>
        <w:t>除磋商文件中另有规定外，本项目均采用国家法定的计量单位。</w:t>
      </w:r>
    </w:p>
    <w:p>
      <w:pPr>
        <w:pStyle w:val="null3"/>
        <w:outlineLvl w:val="3"/>
      </w:pPr>
      <w:r>
        <w:rPr>
          <w:b/>
          <w:sz w:val="24"/>
        </w:rPr>
        <w:t>2.4.3响应货币（实质性要求）</w:t>
      </w:r>
    </w:p>
    <w:p>
      <w:pPr>
        <w:pStyle w:val="null3"/>
        <w:ind w:firstLine="480"/>
      </w:pPr>
      <w:r>
        <w:rPr/>
        <w:t>本次项目均以人民币报价。</w:t>
      </w:r>
    </w:p>
    <w:p>
      <w:pPr>
        <w:pStyle w:val="null3"/>
        <w:outlineLvl w:val="3"/>
      </w:pPr>
      <w:r>
        <w:rPr>
          <w:b/>
          <w:sz w:val="24"/>
        </w:rPr>
        <w:t>2.4.4知识产权（实质性要求）</w:t>
      </w:r>
    </w:p>
    <w:p>
      <w:pPr>
        <w:pStyle w:val="null3"/>
        <w:ind w:firstLine="480"/>
      </w:pPr>
      <w:r>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响应文件具体内容详见第六章。</w:t>
      </w:r>
    </w:p>
    <w:p>
      <w:pPr>
        <w:pStyle w:val="null3"/>
        <w:outlineLvl w:val="3"/>
      </w:pPr>
      <w:r>
        <w:rPr>
          <w:b/>
          <w:sz w:val="24"/>
        </w:rPr>
        <w:t>2.4.6响应文件格式</w:t>
      </w:r>
    </w:p>
    <w:p>
      <w:pPr>
        <w:pStyle w:val="null3"/>
        <w:ind w:firstLine="480"/>
      </w:pPr>
      <w:r>
        <w:rPr/>
        <w:t>一、供应商应按照磋商文件第六章中提供的“响应文件格式”填写相关内容。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一、供应商的报价是供应商响应磋商项目要求的全部工作内容的价格体现，包括供应商完成本项目所需的一切费用。</w:t>
      </w:r>
    </w:p>
    <w:p>
      <w:pPr>
        <w:pStyle w:val="null3"/>
        <w:ind w:firstLine="480"/>
      </w:pPr>
      <w:r>
        <w:rPr/>
        <w:t>二、响应文件报价出现前后不一致的，按照磋商文件第五章磋商办法规定予以修正，修正后的报价经供应商以书面形式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2.4.9响应文件的制作、签章和加密</w:t>
      </w:r>
    </w:p>
    <w:p>
      <w:pPr>
        <w:pStyle w:val="null3"/>
        <w:ind w:firstLine="480"/>
      </w:pPr>
      <w:r>
        <w:rPr/>
        <w:t>一、响应文件应当根据磋商文件进行编制。供应商应通过四川政府采购网-办事指南下载响应客户端，使用客户端编制响应文件。</w:t>
      </w:r>
    </w:p>
    <w:p>
      <w:pPr>
        <w:pStyle w:val="null3"/>
        <w:ind w:firstLine="480"/>
      </w:pPr>
      <w:r>
        <w:rPr/>
        <w:t>二、供应商应按照客户端操作要求，对应磋商文件的每项实质性要求，逐一如实响应；未如实响应或者响应内容不符合磋商文件对应项的要求的，其响应文件作无效处理。</w:t>
      </w:r>
    </w:p>
    <w:p>
      <w:pPr>
        <w:pStyle w:val="null3"/>
        <w:ind w:firstLine="480"/>
      </w:pPr>
      <w:r>
        <w:rPr/>
        <w:t>三、供应商完成响应文件编制后，应按照响应文件第一章明确的签章要求，使用互认的证书及签章对响应文件进行电子签章和加密。</w:t>
      </w:r>
    </w:p>
    <w:p>
      <w:pPr>
        <w:pStyle w:val="null3"/>
        <w:ind w:firstLine="480"/>
      </w:pPr>
      <w:r>
        <w:rPr/>
        <w:t>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2.4.11响应文件的补充、修改（实质性要求）</w:t>
      </w:r>
    </w:p>
    <w:p>
      <w:pPr>
        <w:pStyle w:val="null3"/>
        <w:ind w:firstLine="480"/>
      </w:pPr>
      <w:r>
        <w:rPr/>
        <w:t>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一、本项目为竞争性磋商项目。网上开启的开始时间为响应文件提交截止时间。成功提交或成功提交和解密电子响应文件的供应商不足3家的，不予开启，采购人或代理机构将终止采购活动。</w:t>
      </w:r>
    </w:p>
    <w:p>
      <w:pPr>
        <w:pStyle w:val="null3"/>
        <w:ind w:firstLine="480"/>
      </w:pPr>
      <w:r>
        <w:rPr/>
        <w:t>二、磋商开启准备工作</w:t>
      </w:r>
    </w:p>
    <w:p>
      <w:pPr>
        <w:pStyle w:val="null3"/>
        <w:jc w:val="left"/>
      </w:pPr>
      <w:r>
        <w:rPr/>
        <w:t>响应文件开启时间前，供应商登录项目电子化交易系统-“开标/开启大厅”，等待代理机构开启磋商。</w:t>
      </w:r>
    </w:p>
    <w:p>
      <w:pPr>
        <w:pStyle w:val="null3"/>
        <w:ind w:firstLine="480"/>
        <w:jc w:val="left"/>
      </w:pPr>
      <w:r>
        <w:rPr/>
        <w:t>三、解密响应文件（实质性要求）</w:t>
      </w:r>
    </w:p>
    <w:p>
      <w:pPr>
        <w:pStyle w:val="null3"/>
        <w:ind w:firstLine="480"/>
        <w:jc w:val="left"/>
      </w:pPr>
      <w:r>
        <w:rPr/>
        <w:t>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jc w:val="left"/>
      </w:pPr>
      <w:r>
        <w:rPr/>
        <w:t>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jc w:val="left"/>
        <w:outlineLvl w:val="3"/>
      </w:pPr>
      <w:r>
        <w:rPr>
          <w:b/>
          <w:sz w:val="24"/>
        </w:rPr>
        <w:t>2.5.2查询及使用信用记录</w:t>
      </w:r>
    </w:p>
    <w:p>
      <w:pPr>
        <w:pStyle w:val="null3"/>
        <w:ind w:firstLine="480"/>
        <w:jc w:val="left"/>
      </w:pPr>
      <w:r>
        <w:rPr/>
        <w:t>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jc w:val="left"/>
      </w:pPr>
      <w:r>
        <w:rPr/>
        <w:t>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ind w:firstLine="480"/>
        <w:jc w:val="left"/>
        <w:outlineLvl w:val="3"/>
      </w:pPr>
      <w:r>
        <w:rPr>
          <w:b/>
          <w:sz w:val="24"/>
        </w:rPr>
        <w:t>2.5.3资格审查</w:t>
      </w:r>
    </w:p>
    <w:p>
      <w:pPr>
        <w:pStyle w:val="null3"/>
        <w:ind w:firstLine="480"/>
        <w:jc w:val="left"/>
      </w:pPr>
      <w:r>
        <w:rPr/>
        <w:t>详见磋商文件第五章。</w:t>
      </w:r>
    </w:p>
    <w:p>
      <w:pPr>
        <w:pStyle w:val="null3"/>
        <w:ind w:firstLine="480"/>
        <w:jc w:val="left"/>
        <w:outlineLvl w:val="3"/>
      </w:pPr>
      <w:r>
        <w:rPr>
          <w:b/>
          <w:sz w:val="24"/>
        </w:rPr>
        <w:t>2.5.4磋商</w:t>
      </w:r>
    </w:p>
    <w:p>
      <w:pPr>
        <w:pStyle w:val="null3"/>
        <w:ind w:firstLine="480"/>
        <w:jc w:val="left"/>
      </w:pPr>
      <w:r>
        <w:rPr/>
        <w:t>详见磋商文件第五章。</w:t>
      </w:r>
    </w:p>
    <w:p>
      <w:pPr>
        <w:pStyle w:val="null3"/>
        <w:ind w:firstLine="480"/>
        <w:jc w:val="left"/>
        <w:outlineLvl w:val="3"/>
      </w:pPr>
      <w:r>
        <w:rPr>
          <w:b/>
          <w:sz w:val="24"/>
        </w:rPr>
        <w:t>2.5.5成交通知书</w:t>
      </w:r>
    </w:p>
    <w:p>
      <w:pPr>
        <w:pStyle w:val="null3"/>
        <w:ind w:firstLine="480"/>
        <w:jc w:val="left"/>
      </w:pPr>
      <w:r>
        <w:rPr/>
        <w:t>一、采购人或者磋商小组确认成交供应商后，代理机构在四川政府采购网发布成交结果公告、通过项目电子化交易系统发出成交通知书，成交供应商通过项目电子化交易系统获取成交通知书。</w:t>
      </w:r>
    </w:p>
    <w:p>
      <w:pPr>
        <w:pStyle w:val="null3"/>
        <w:ind w:firstLine="480"/>
        <w:jc w:val="left"/>
      </w:pPr>
      <w:r>
        <w:rPr/>
        <w:t>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jc w:val="left"/>
      </w:pPr>
      <w:r>
        <w:rPr/>
        <w:t>三、成交通知书对采购人和成交供应商均具有法律效力。</w:t>
      </w:r>
    </w:p>
    <w:p>
      <w:pPr>
        <w:pStyle w:val="null3"/>
        <w:ind w:firstLine="480"/>
        <w:jc w:val="left"/>
        <w:outlineLvl w:val="2"/>
      </w:pPr>
      <w:r>
        <w:rPr>
          <w:b/>
          <w:sz w:val="28"/>
        </w:rPr>
        <w:t>2.6签订及履行合同和验收</w:t>
      </w:r>
    </w:p>
    <w:p>
      <w:pPr>
        <w:pStyle w:val="null3"/>
        <w:ind w:firstLine="480"/>
        <w:jc w:val="left"/>
        <w:outlineLvl w:val="3"/>
      </w:pPr>
      <w:r>
        <w:rPr>
          <w:b/>
          <w:sz w:val="24"/>
        </w:rPr>
        <w:t>2.6.1签订合同</w:t>
      </w:r>
    </w:p>
    <w:p>
      <w:pPr>
        <w:pStyle w:val="null3"/>
        <w:ind w:firstLine="480"/>
        <w:jc w:val="left"/>
      </w:pPr>
      <w:r>
        <w:rPr/>
        <w:t>一、采购人应在成交通知书发出之日起三十日内与成交供应商签订采购合同。</w:t>
      </w:r>
    </w:p>
    <w:p>
      <w:pPr>
        <w:pStyle w:val="null3"/>
        <w:ind w:firstLine="480"/>
        <w:jc w:val="left"/>
      </w:pPr>
      <w:r>
        <w:rPr/>
        <w:t>二、采购人和成交供应商签订的采购合同不得对磋商文件确定的事项以及成交供应商的响应文件作实质性修改。</w:t>
      </w:r>
    </w:p>
    <w:p>
      <w:pPr>
        <w:pStyle w:val="null3"/>
        <w:ind w:firstLine="480"/>
        <w:jc w:val="left"/>
        <w:outlineLvl w:val="3"/>
      </w:pPr>
      <w:r>
        <w:rPr>
          <w:b/>
          <w:sz w:val="24"/>
        </w:rPr>
        <w:t>2.6.2合同分包和转包（实质性要求）</w:t>
      </w:r>
    </w:p>
    <w:p>
      <w:pPr>
        <w:pStyle w:val="null3"/>
        <w:ind w:firstLine="480"/>
        <w:jc w:val="left"/>
        <w:outlineLvl w:val="3"/>
      </w:pPr>
      <w:r>
        <w:rPr>
          <w:b/>
          <w:sz w:val="24"/>
        </w:rPr>
        <w:t>2.6.2.1合同分包</w:t>
      </w:r>
    </w:p>
    <w:p>
      <w:pPr>
        <w:pStyle w:val="null3"/>
        <w:ind w:firstLine="480"/>
        <w:jc w:val="left"/>
      </w:pPr>
      <w:r>
        <w:rPr/>
        <w:t>一、供应商根据磋商文件的规定和采购项目的实际情况，拟在成交后将成交项目的非主体、非关键性工作分包的，应当在响应文件中载明分包承担主体，分包承担主体应当具备相应资质条件且不得再次分包。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jc w:val="left"/>
      </w:pPr>
      <w:r>
        <w:rPr/>
        <w:t>二、分包履行合同的部分应当为采购项目的非主体、非关键性工作，不属于成交供应商的主要合同义务。</w:t>
      </w:r>
    </w:p>
    <w:p>
      <w:pPr>
        <w:pStyle w:val="null3"/>
        <w:ind w:firstLine="480"/>
        <w:jc w:val="left"/>
      </w:pPr>
      <w:r>
        <w:rPr/>
        <w:t>三、采购合同实行分包履行的，成交供应商就采购项目和分包项目向采购人负责，分包供应商就分包项目承担责任。</w:t>
      </w:r>
    </w:p>
    <w:p>
      <w:pPr>
        <w:pStyle w:val="null3"/>
        <w:ind w:firstLine="480"/>
        <w:jc w:val="left"/>
      </w:pPr>
      <w:r>
        <w:rPr/>
        <w:t>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jc w:val="left"/>
      </w:pPr>
    </w:p>
    <w:p>
      <w:pPr>
        <w:pStyle w:val="null3"/>
        <w:jc w:val="left"/>
      </w:pPr>
    </w:p>
    <w:p>
      <w:pPr>
        <w:pStyle w:val="null3"/>
        <w:jc w:val="left"/>
      </w:pPr>
    </w:p>
    <w:p>
      <w:pPr>
        <w:pStyle w:val="null3"/>
        <w:jc w:val="left"/>
      </w:pPr>
      <w:r>
        <w:rPr/>
        <w:t>采购包1：不允许合同分包；</w:t>
      </w:r>
    </w:p>
    <w:p>
      <w:pPr>
        <w:pStyle w:val="null3"/>
        <w:ind w:firstLine="480"/>
        <w:jc w:val="left"/>
        <w:outlineLvl w:val="3"/>
      </w:pPr>
      <w:r>
        <w:rPr>
          <w:b/>
          <w:sz w:val="24"/>
        </w:rPr>
        <w:t>2.6.2.2合同转包</w:t>
      </w:r>
    </w:p>
    <w:p>
      <w:pPr>
        <w:pStyle w:val="null3"/>
        <w:ind w:firstLine="480"/>
        <w:jc w:val="left"/>
      </w:pPr>
      <w:r>
        <w:rPr/>
        <w:t>一、严禁成交供应商将本项目转包。本项目所称转包，是指将本项目转给他人或者将本项目全部肢解以后以分包的名义分别转给他人的行为。</w:t>
      </w:r>
    </w:p>
    <w:p>
      <w:pPr>
        <w:pStyle w:val="null3"/>
        <w:ind w:firstLine="480"/>
        <w:jc w:val="left"/>
      </w:pPr>
      <w:r>
        <w:rPr/>
        <w:t>二、成交供应商转包的，视同拒绝履行政府采购合同，将依法追究法律责任。</w:t>
      </w:r>
    </w:p>
    <w:p>
      <w:pPr>
        <w:pStyle w:val="null3"/>
        <w:ind w:firstLine="480"/>
        <w:jc w:val="left"/>
        <w:outlineLvl w:val="3"/>
      </w:pPr>
      <w:r>
        <w:rPr>
          <w:b/>
          <w:sz w:val="24"/>
        </w:rPr>
        <w:t>2.6.3采购人增加合同标的的权利</w:t>
      </w:r>
    </w:p>
    <w:p>
      <w:pPr>
        <w:pStyle w:val="null3"/>
        <w:ind w:firstLine="480"/>
        <w:jc w:val="left"/>
      </w:pPr>
      <w:r>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ind w:firstLine="480"/>
        <w:jc w:val="left"/>
        <w:outlineLvl w:val="3"/>
      </w:pPr>
      <w:r>
        <w:rPr>
          <w:b/>
          <w:sz w:val="24"/>
        </w:rPr>
        <w:t>2.6.4履行合同</w:t>
      </w:r>
    </w:p>
    <w:p>
      <w:pPr>
        <w:pStyle w:val="null3"/>
        <w:ind w:firstLine="480"/>
        <w:jc w:val="left"/>
      </w:pPr>
      <w:r>
        <w:rPr/>
        <w:t>一、合同一经签订，双方应严格履行合同规定的义务。</w:t>
      </w:r>
    </w:p>
    <w:p>
      <w:pPr>
        <w:pStyle w:val="null3"/>
        <w:ind w:firstLine="480"/>
        <w:jc w:val="left"/>
      </w:pPr>
      <w:r>
        <w:rPr/>
        <w:t>二、在合同履行过程中，如发生合同纠纷，合同双方应按照《中华人民共和国民法典》规定及合同条款约定进行处理。</w:t>
      </w:r>
    </w:p>
    <w:p>
      <w:pPr>
        <w:pStyle w:val="null3"/>
        <w:ind w:firstLine="480"/>
        <w:jc w:val="left"/>
        <w:outlineLvl w:val="3"/>
      </w:pPr>
      <w:r>
        <w:rPr>
          <w:b/>
          <w:sz w:val="24"/>
        </w:rPr>
        <w:t>2.6.5履约验收方案</w:t>
      </w:r>
    </w:p>
    <w:p>
      <w:pPr>
        <w:pStyle w:val="null3"/>
        <w:jc w:val="left"/>
      </w:pPr>
    </w:p>
    <w:p>
      <w:pPr>
        <w:pStyle w:val="null3"/>
        <w:jc w:val="left"/>
      </w:pPr>
    </w:p>
    <w:p>
      <w:pPr>
        <w:pStyle w:val="null3"/>
        <w:jc w:val="left"/>
      </w:pPr>
    </w:p>
    <w:p>
      <w:pPr>
        <w:pStyle w:val="null3"/>
        <w:jc w:val="left"/>
      </w:pPr>
      <w:r>
        <w:rPr/>
        <w:t>采购包1：</w:t>
      </w:r>
    </w:p>
    <w:p>
      <w:pPr>
        <w:pStyle w:val="null3"/>
        <w:ind w:firstLine="840"/>
        <w:jc w:val="left"/>
      </w:pPr>
      <w:r>
        <w:rPr/>
        <w:t>1）验收组织方式：</w:t>
      </w:r>
      <w:r>
        <w:rPr/>
        <w:t>自行验收</w:t>
      </w:r>
    </w:p>
    <w:p>
      <w:pPr>
        <w:pStyle w:val="null3"/>
        <w:ind w:firstLine="840"/>
        <w:jc w:val="left"/>
      </w:pPr>
      <w:r>
        <w:rPr/>
        <w:t>2）是否邀请本项目的其他供应商：</w:t>
      </w:r>
      <w:r>
        <w:rPr/>
        <w:t>否</w:t>
      </w:r>
    </w:p>
    <w:p>
      <w:pPr>
        <w:pStyle w:val="null3"/>
        <w:ind w:firstLine="840"/>
        <w:jc w:val="left"/>
      </w:pPr>
      <w:r>
        <w:rPr/>
        <w:t>3）是否邀请专家：</w:t>
      </w:r>
      <w:r>
        <w:rPr/>
        <w:t>否</w:t>
      </w:r>
    </w:p>
    <w:p>
      <w:pPr>
        <w:pStyle w:val="null3"/>
        <w:ind w:firstLine="840"/>
        <w:jc w:val="left"/>
      </w:pPr>
      <w:r>
        <w:rPr/>
        <w:t>4）是否邀请服务对象：</w:t>
      </w:r>
      <w:r>
        <w:rPr/>
        <w:t>否</w:t>
      </w:r>
    </w:p>
    <w:p>
      <w:pPr>
        <w:pStyle w:val="null3"/>
        <w:ind w:firstLine="840"/>
        <w:jc w:val="left"/>
      </w:pPr>
      <w:r>
        <w:rPr/>
        <w:t>5）是否邀请第三方检测机构：</w:t>
      </w:r>
      <w:r>
        <w:rPr/>
        <w:t>否</w:t>
      </w:r>
    </w:p>
    <w:p>
      <w:pPr>
        <w:pStyle w:val="null3"/>
        <w:ind w:firstLine="840"/>
        <w:jc w:val="left"/>
      </w:pPr>
      <w:r>
        <w:rPr/>
        <w:t>6）履约验收程序：</w:t>
      </w:r>
      <w:r>
        <w:rPr/>
        <w:t>分段/分期验收</w:t>
      </w:r>
    </w:p>
    <w:p>
      <w:pPr>
        <w:pStyle w:val="null3"/>
        <w:ind w:firstLine="840"/>
        <w:jc w:val="left"/>
      </w:pPr>
      <w:r>
        <w:rPr/>
        <w:t>7）履约验收时间：</w:t>
      </w:r>
    </w:p>
    <w:p>
      <w:pPr>
        <w:pStyle w:val="null3"/>
        <w:jc w:val="left"/>
      </w:pPr>
    </w:p>
    <w:p>
      <w:pPr>
        <w:pStyle w:val="null3"/>
        <w:ind w:firstLine="1200"/>
        <w:jc w:val="left"/>
      </w:pPr>
      <w:r>
        <w:rPr/>
        <w:t>供应商提出验收申请之日起</w:t>
      </w:r>
      <w:r>
        <w:rPr/>
        <w:t>30</w:t>
      </w:r>
      <w:r>
        <w:rPr/>
        <w:t>日内组织验收</w:t>
      </w:r>
    </w:p>
    <w:p>
      <w:pPr>
        <w:pStyle w:val="null3"/>
        <w:ind w:firstLine="840"/>
        <w:jc w:val="left"/>
      </w:pPr>
      <w:r>
        <w:rPr/>
        <w:t>8）验收组织的其他事项：</w:t>
      </w:r>
      <w:r>
        <w:rPr/>
        <w:t>无</w:t>
      </w:r>
    </w:p>
    <w:p>
      <w:pPr>
        <w:pStyle w:val="null3"/>
        <w:ind w:firstLine="840"/>
        <w:jc w:val="left"/>
      </w:pPr>
      <w:r>
        <w:rPr/>
        <w:t>9）技术履约验收内容：</w:t>
      </w:r>
      <w:r>
        <w:rPr/>
        <w:t>按行业相关法律规定、采购文件技术、商务要求和成交人的响应文件等进行验收。</w:t>
      </w:r>
    </w:p>
    <w:p>
      <w:pPr>
        <w:pStyle w:val="null3"/>
        <w:ind w:firstLine="840"/>
        <w:jc w:val="left"/>
      </w:pPr>
      <w:r>
        <w:rPr/>
        <w:t>10）商务履约验收内容：</w:t>
      </w:r>
      <w:r>
        <w:rPr/>
        <w:t>按行业相关法律规定、采购文件技术、商务要求和成交人的响应文件等进行验收。</w:t>
      </w:r>
    </w:p>
    <w:p>
      <w:pPr>
        <w:pStyle w:val="null3"/>
        <w:ind w:firstLine="840"/>
        <w:jc w:val="left"/>
      </w:pPr>
      <w:r>
        <w:rPr/>
        <w:t>11）履约验收标准：</w:t>
      </w:r>
    </w:p>
    <w:p>
      <w:pPr>
        <w:pStyle w:val="null3"/>
        <w:jc w:val="left"/>
      </w:pPr>
    </w:p>
    <w:p>
      <w:pPr>
        <w:pStyle w:val="null3"/>
        <w:ind w:firstLine="1200"/>
        <w:jc w:val="left"/>
      </w:pPr>
      <w:r>
        <w:rPr/>
        <w:t>严格按照《政府采购需求管理办法》(财库〔2021〕22号)的要求进行验收，按国家有关规定以及采购文件的质量要求和技术指标、成交供应商的响应文件及承诺进行验收；采购人与成交供应商双方如对质量要求和技术指标的约定标准有相互抵触或异议的事项，由采购人在采购文件与响应文件中按质量要求和技术指标比较优胜的原则确定该项的约定标准进行验收。</w:t>
      </w:r>
    </w:p>
    <w:p>
      <w:pPr>
        <w:pStyle w:val="null3"/>
        <w:ind w:firstLine="840"/>
        <w:jc w:val="left"/>
      </w:pPr>
      <w:r>
        <w:rPr/>
        <w:t>12）履约验收其他事项：</w:t>
      </w:r>
      <w:r>
        <w:rPr/>
        <w:t>无</w:t>
      </w:r>
    </w:p>
    <w:p>
      <w:pPr>
        <w:pStyle w:val="null3"/>
        <w:ind w:firstLine="480"/>
        <w:jc w:val="left"/>
        <w:outlineLvl w:val="3"/>
      </w:pPr>
      <w:r>
        <w:rPr>
          <w:b/>
          <w:sz w:val="24"/>
        </w:rPr>
        <w:t>2.6.6资金支付</w:t>
      </w:r>
    </w:p>
    <w:p>
      <w:pPr>
        <w:pStyle w:val="null3"/>
        <w:ind w:firstLine="480"/>
        <w:jc w:val="left"/>
      </w:pPr>
      <w:r>
        <w:rPr/>
        <w:t>采购人按财政部门的相关规定及采购合同的约定进行支付。</w:t>
      </w:r>
    </w:p>
    <w:p>
      <w:pPr>
        <w:pStyle w:val="null3"/>
        <w:ind w:firstLine="480"/>
        <w:jc w:val="left"/>
        <w:outlineLvl w:val="2"/>
      </w:pPr>
      <w:r>
        <w:rPr>
          <w:b/>
          <w:sz w:val="28"/>
        </w:rPr>
        <w:t>2.7响应纪律要求</w:t>
      </w:r>
    </w:p>
    <w:p>
      <w:pPr>
        <w:pStyle w:val="null3"/>
        <w:ind w:firstLine="480"/>
        <w:jc w:val="left"/>
        <w:outlineLvl w:val="3"/>
      </w:pPr>
      <w:r>
        <w:rPr>
          <w:b/>
          <w:sz w:val="24"/>
        </w:rPr>
        <w:t>2.7.1磋商活动纪律要求</w:t>
      </w:r>
    </w:p>
    <w:p>
      <w:pPr>
        <w:pStyle w:val="null3"/>
        <w:ind w:firstLine="480"/>
        <w:jc w:val="left"/>
      </w:pPr>
      <w:r>
        <w:rPr/>
        <w:t>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jc w:val="left"/>
      </w:pPr>
      <w:r>
        <w:rPr/>
        <w:t>对各供应商的商业秘密，磋商小组成员应予以保密，不得泄露给其他供应商。</w:t>
      </w:r>
    </w:p>
    <w:p>
      <w:pPr>
        <w:pStyle w:val="null3"/>
        <w:ind w:firstLine="480"/>
        <w:jc w:val="left"/>
        <w:outlineLvl w:val="3"/>
      </w:pPr>
      <w:r>
        <w:rPr>
          <w:b/>
          <w:sz w:val="24"/>
        </w:rPr>
        <w:t>2.7.2供应商不得具有的情形（实质性要求）</w:t>
      </w:r>
    </w:p>
    <w:p>
      <w:pPr>
        <w:pStyle w:val="null3"/>
        <w:ind w:firstLine="480"/>
        <w:jc w:val="left"/>
      </w:pPr>
      <w:r>
        <w:rPr/>
        <w:t>供应商参加响应不得有下列情形：</w:t>
      </w:r>
    </w:p>
    <w:p>
      <w:pPr>
        <w:pStyle w:val="null3"/>
        <w:ind w:firstLine="480"/>
        <w:jc w:val="left"/>
      </w:pPr>
      <w:r>
        <w:rPr/>
        <w:t>一、有下列情形之一的，视为供应商串通响应：</w:t>
      </w:r>
    </w:p>
    <w:p>
      <w:pPr>
        <w:pStyle w:val="null3"/>
        <w:ind w:firstLine="480"/>
        <w:jc w:val="left"/>
      </w:pPr>
      <w:r>
        <w:rPr/>
        <w:t>（一）不同供应商的响应文件由同一单位或者个人编制；</w:t>
      </w:r>
    </w:p>
    <w:p>
      <w:pPr>
        <w:pStyle w:val="null3"/>
        <w:ind w:firstLine="480"/>
        <w:jc w:val="left"/>
      </w:pPr>
      <w:r>
        <w:rPr/>
        <w:t>（二）不同供应商委托同一单位或者个人办理磋商事宜；</w:t>
      </w:r>
    </w:p>
    <w:p>
      <w:pPr>
        <w:pStyle w:val="null3"/>
        <w:ind w:firstLine="480"/>
        <w:jc w:val="left"/>
      </w:pPr>
      <w:r>
        <w:rPr/>
        <w:t>（三）不同供应商的响应文件载明的项目管理成员或者联系人员为同一人；</w:t>
      </w:r>
    </w:p>
    <w:p>
      <w:pPr>
        <w:pStyle w:val="null3"/>
        <w:ind w:firstLine="480"/>
        <w:jc w:val="left"/>
      </w:pPr>
      <w:r>
        <w:rPr/>
        <w:t>（四）不同供应商的响应文件异常一致或者响应报价呈规律性差异；</w:t>
      </w:r>
    </w:p>
    <w:p>
      <w:pPr>
        <w:pStyle w:val="null3"/>
        <w:ind w:firstLine="480"/>
        <w:jc w:val="left"/>
      </w:pPr>
      <w:r>
        <w:rPr/>
        <w:t>（五）不同供应商的响应文件相互混装。</w:t>
      </w:r>
    </w:p>
    <w:p>
      <w:pPr>
        <w:pStyle w:val="null3"/>
        <w:ind w:firstLine="480"/>
        <w:jc w:val="left"/>
      </w:pPr>
      <w:r>
        <w:rPr/>
        <w:t>二、提供虚假材料谋取成交；</w:t>
      </w:r>
    </w:p>
    <w:p>
      <w:pPr>
        <w:pStyle w:val="null3"/>
        <w:ind w:firstLine="480"/>
        <w:jc w:val="left"/>
      </w:pPr>
      <w:r>
        <w:rPr/>
        <w:t>三、采取不正当手段诋毁、排挤其他供应商；</w:t>
      </w:r>
    </w:p>
    <w:p>
      <w:pPr>
        <w:pStyle w:val="null3"/>
        <w:ind w:firstLine="480"/>
        <w:jc w:val="left"/>
      </w:pPr>
      <w:r>
        <w:rPr/>
        <w:t>四、与采购人或代理机构、其他供应商恶意串通；</w:t>
      </w:r>
    </w:p>
    <w:p>
      <w:pPr>
        <w:pStyle w:val="null3"/>
        <w:ind w:firstLine="480"/>
        <w:jc w:val="left"/>
      </w:pPr>
      <w:r>
        <w:rPr/>
        <w:t>五、向采购人或代理机构、磋商小组成员行贿或者提供其他不正当利益；</w:t>
      </w:r>
    </w:p>
    <w:p>
      <w:pPr>
        <w:pStyle w:val="null3"/>
        <w:ind w:firstLine="480"/>
        <w:jc w:val="left"/>
      </w:pPr>
      <w:r>
        <w:rPr/>
        <w:t>六、在磋商过程中与采购人或代理机构进行协商磋商；</w:t>
      </w:r>
    </w:p>
    <w:p>
      <w:pPr>
        <w:pStyle w:val="null3"/>
        <w:ind w:firstLine="480"/>
        <w:jc w:val="left"/>
      </w:pPr>
      <w:r>
        <w:rPr/>
        <w:t>七、成交后无正当理由拒不与采购人签订政府采购合同；</w:t>
      </w:r>
    </w:p>
    <w:p>
      <w:pPr>
        <w:pStyle w:val="null3"/>
        <w:ind w:firstLine="480"/>
        <w:jc w:val="left"/>
      </w:pPr>
      <w:r>
        <w:rPr/>
        <w:t>八、未按照磋商文件确定的事项签订政府采购合同；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供应商有上述情形的，按照规定追究法律责任，具有前述一至十一条情形之一的，其响应文件无效，或取消被确认为成交供应商的资格或认定成交无效。</w:t>
      </w:r>
    </w:p>
    <w:p>
      <w:pPr>
        <w:pStyle w:val="null3"/>
        <w:ind w:firstLine="480"/>
        <w:jc w:val="left"/>
        <w:outlineLvl w:val="3"/>
      </w:pPr>
      <w:r>
        <w:rPr>
          <w:b/>
          <w:sz w:val="24"/>
        </w:rPr>
        <w:t>2.7.3采购人员及相关人员回避要求</w:t>
      </w:r>
    </w:p>
    <w:p>
      <w:pPr>
        <w:pStyle w:val="null3"/>
        <w:ind w:firstLine="480"/>
        <w:jc w:val="left"/>
      </w:pPr>
      <w:r>
        <w:rPr/>
        <w:t>政府采购活动中，采购人员及相关人员与供应商有下列利害关系之一的，应当回避：</w:t>
      </w:r>
    </w:p>
    <w:p>
      <w:pPr>
        <w:pStyle w:val="null3"/>
        <w:ind w:firstLine="480"/>
        <w:jc w:val="left"/>
      </w:pPr>
      <w:r>
        <w:rPr/>
        <w:t>（一）参加采购活动前3年内与供应商存在劳动关系；</w:t>
      </w:r>
    </w:p>
    <w:p>
      <w:pPr>
        <w:pStyle w:val="null3"/>
        <w:ind w:firstLine="480"/>
        <w:jc w:val="left"/>
      </w:pPr>
      <w:r>
        <w:rPr/>
        <w:t>（二）参加采购活动前3年内担任供应商的董事、监事；</w:t>
      </w:r>
    </w:p>
    <w:p>
      <w:pPr>
        <w:pStyle w:val="null3"/>
        <w:ind w:firstLine="480"/>
        <w:jc w:val="left"/>
      </w:pPr>
      <w:r>
        <w:rPr/>
        <w:t>（三）参加采购活动前3年内是供应商的控股股东或者实际控制人；</w:t>
      </w:r>
    </w:p>
    <w:p>
      <w:pPr>
        <w:pStyle w:val="null3"/>
        <w:ind w:firstLine="480"/>
        <w:jc w:val="left"/>
      </w:pPr>
      <w:r>
        <w:rPr/>
        <w:t>（四）与供应商的法定代表人或者负责人有夫妻、直系血亲、三代以内旁系血亲或者近姻亲关系；</w:t>
      </w:r>
    </w:p>
    <w:p>
      <w:pPr>
        <w:pStyle w:val="null3"/>
        <w:ind w:firstLine="480"/>
        <w:jc w:val="left"/>
      </w:pPr>
      <w:r>
        <w:rPr/>
        <w:t>（五）与供应商有其他可能影响政府采购活动公平、公正进行的关系。</w:t>
      </w:r>
    </w:p>
    <w:p>
      <w:pPr>
        <w:pStyle w:val="null3"/>
        <w:ind w:firstLine="480"/>
        <w:jc w:val="left"/>
      </w:pPr>
      <w:r>
        <w:rPr/>
        <w:t>供应商认为采购人员及相关人员与其他供应商有利害关系的，可以向代理机构书面提出回避申请，并说明理由。代理机构将及时询问被申请回避人员，有利害关系的被申请回避人员应当回避。</w:t>
      </w:r>
    </w:p>
    <w:p>
      <w:pPr>
        <w:pStyle w:val="null3"/>
        <w:ind w:firstLine="480"/>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二、供应商询问、质疑的答复主体：</w:t>
      </w:r>
    </w:p>
    <w:p>
      <w:pPr>
        <w:pStyle w:val="null3"/>
        <w:ind w:firstLine="480"/>
        <w:jc w:val="left"/>
      </w:pPr>
      <w:r>
        <w:rPr/>
        <w:t>根据委托代理协议约定，供应商对采购文件中采购需求的询问、质疑由</w:t>
      </w:r>
      <w:r>
        <w:rPr/>
        <w:t>安迅达工程咨询有限公司</w:t>
      </w:r>
      <w:r>
        <w:rPr/>
        <w:t>负责答复；供应商对除采购需求外的采购文件的询问、质疑由</w:t>
      </w:r>
      <w:r>
        <w:rPr/>
        <w:t>安迅达工程咨询有限公司</w:t>
      </w:r>
      <w:r>
        <w:rPr/>
        <w:t>负责答复；供应商对采购过程、采购结果的询问、质疑由</w:t>
      </w:r>
      <w:r>
        <w:rPr/>
        <w:t>安迅达工程咨询有限公司</w:t>
      </w:r>
      <w:r>
        <w:rPr/>
        <w:t>负责答复。</w:t>
      </w:r>
    </w:p>
    <w:p>
      <w:pPr>
        <w:pStyle w:val="null3"/>
        <w:ind w:firstLine="480"/>
        <w:jc w:val="left"/>
      </w:pPr>
      <w:r>
        <w:rPr/>
        <w:t>三、供应商提出的询问，应当明确询问事项，如以书面形式提出的，应由供应商签字并加盖公章。</w:t>
      </w:r>
    </w:p>
    <w:p>
      <w:pPr>
        <w:pStyle w:val="null3"/>
        <w:ind w:firstLine="480"/>
        <w:jc w:val="left"/>
      </w:pPr>
      <w:r>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left"/>
      </w:pPr>
      <w:r>
        <w:rPr/>
        <w:t>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五、本项目不接受在线提交质疑，供应商通过书面形式线下向采购人或代理机构提交质疑资料。</w:t>
      </w:r>
    </w:p>
    <w:p>
      <w:pPr>
        <w:pStyle w:val="null3"/>
        <w:ind w:firstLine="480"/>
        <w:jc w:val="left"/>
      </w:pPr>
      <w:r>
        <w:rPr/>
        <w:t>六、供应商提出质疑时应当准备的资料：</w:t>
      </w:r>
    </w:p>
    <w:p>
      <w:pPr>
        <w:pStyle w:val="null3"/>
        <w:ind w:firstLine="480"/>
        <w:jc w:val="left"/>
      </w:pPr>
      <w:r>
        <w:rPr/>
        <w:t>（一）质疑函正本1份；（政府采购供应商质疑函范本详见附件一）</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（五）针对质疑事项必要的证明材料（针对磋商文件提出的质疑，需提交从项目电子化交易系统获取的磋商文件回执单）。</w:t>
      </w:r>
    </w:p>
    <w:p>
      <w:pPr>
        <w:pStyle w:val="null3"/>
        <w:jc w:val="left"/>
      </w:pPr>
    </w:p>
    <w:p>
      <w:pPr>
        <w:pStyle w:val="null3"/>
        <w:jc w:val="left"/>
      </w:pPr>
    </w:p>
    <w:p>
      <w:pPr>
        <w:pStyle w:val="null3"/>
        <w:jc w:val="left"/>
      </w:pPr>
      <w:r>
        <w:rPr/>
        <w:t>答复主体：代理机构</w:t>
      </w:r>
    </w:p>
    <w:p>
      <w:pPr>
        <w:pStyle w:val="null3"/>
        <w:jc w:val="left"/>
      </w:pPr>
      <w:r>
        <w:rPr/>
        <w:t>联系人：张老师</w:t>
      </w:r>
    </w:p>
    <w:p>
      <w:pPr>
        <w:pStyle w:val="null3"/>
        <w:jc w:val="left"/>
      </w:pPr>
      <w:r>
        <w:rPr/>
        <w:t>联系电话：0813-8107521</w:t>
      </w:r>
    </w:p>
    <w:p>
      <w:pPr>
        <w:pStyle w:val="null3"/>
        <w:jc w:val="left"/>
      </w:pPr>
      <w:r>
        <w:rPr/>
        <w:t>地址：自贡市自流井区西苑街65号</w:t>
      </w:r>
    </w:p>
    <w:p>
      <w:pPr>
        <w:pStyle w:val="null3"/>
        <w:jc w:val="left"/>
      </w:pPr>
      <w:r>
        <w:rPr/>
        <w:t>邮编：643000</w:t>
      </w:r>
    </w:p>
    <w:p>
      <w:pPr>
        <w:pStyle w:val="null3"/>
        <w:ind w:firstLine="480"/>
        <w:jc w:val="left"/>
      </w:pPr>
      <w:r>
        <w:rPr/>
        <w:t>注：根据《中华人民共和国政府采购法》的规定，供应商质疑不得超出磋商文件、采购过程、采购结果的范围。</w:t>
      </w:r>
    </w:p>
    <w:p>
      <w:pPr>
        <w:pStyle w:val="null3"/>
        <w:ind w:firstLine="480"/>
        <w:jc w:val="left"/>
      </w:pPr>
      <w:r>
        <w:rPr/>
        <w:t>七、供应商对采购人或代理机构的质疑答复不满意，或者采购人或代理机构未在规定期限内作出答复的，供应商可以在答复期满后15个工作日内向同级财政部门提起投诉。</w:t>
      </w:r>
    </w:p>
    <w:p>
      <w:pPr>
        <w:pStyle w:val="null3"/>
        <w:ind w:firstLine="480"/>
        <w:jc w:val="left"/>
      </w:pPr>
      <w:r>
        <w:rPr/>
        <w:t>投诉受理单位：本采购项目同级财政部门。（政府采购供应商投诉书范本详见附件二）</w:t>
      </w:r>
    </w:p>
    <w:p>
      <w:pPr>
        <w:pStyle w:val="null3"/>
        <w:jc w:val="left"/>
      </w:pPr>
    </w:p>
    <w:p>
      <w:pPr>
        <w:pStyle w:val="null3"/>
        <w:ind w:firstLine="480"/>
        <w:jc w:val="left"/>
      </w:pPr>
      <w:r>
        <w:rPr/>
        <w:t xml:space="preserve"> </w:t>
      </w:r>
    </w:p>
    <w:p>
      <w:pPr>
        <w:pStyle w:val="null3"/>
        <w:ind w:firstLine="480"/>
        <w:jc w:val="center"/>
        <w:outlineLvl w:val="1"/>
      </w:pPr>
      <w:r>
        <w:rPr>
          <w:b/>
          <w:sz w:val="36"/>
        </w:rPr>
        <w:t>第三章 磋商项目技术、服务、商务及其他要求</w:t>
      </w:r>
    </w:p>
    <w:p>
      <w:pPr>
        <w:pStyle w:val="null3"/>
        <w:ind w:firstLine="480"/>
        <w:jc w:val="left"/>
      </w:pPr>
      <w:r>
        <w:rPr/>
        <w:t>（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jc w:val="left"/>
        <w:outlineLvl w:val="2"/>
      </w:pPr>
      <w:r>
        <w:rPr>
          <w:b/>
          <w:sz w:val="28"/>
        </w:rPr>
        <w:t>3.1、采购项目概况</w:t>
      </w:r>
    </w:p>
    <w:p>
      <w:pPr>
        <w:pStyle w:val="null3"/>
        <w:jc w:val="left"/>
      </w:pPr>
    </w:p>
    <w:p>
      <w:pPr>
        <w:pStyle w:val="null3"/>
        <w:jc w:val="left"/>
      </w:pPr>
      <w:r>
        <w:rPr/>
        <w:t>自贡市城市地价动态监测维护工作的任务目标是以城市标准宗地为核心，开展标准宗地及地价相关指标数据采集与维护，按照国家要求上报数据，保障城市地价动态监测数据源的及时、真实、准确、完备以及规范，为国土部门参与宏观调控提供基础数据。</w:t>
      </w:r>
    </w:p>
    <w:p>
      <w:pPr>
        <w:pStyle w:val="null3"/>
        <w:ind w:firstLine="480"/>
        <w:jc w:val="left"/>
        <w:outlineLvl w:val="2"/>
      </w:pPr>
      <w:r>
        <w:rPr>
          <w:b/>
          <w:sz w:val="28"/>
        </w:rPr>
        <w:t>3.2、服务内容及服务要求</w:t>
      </w:r>
    </w:p>
    <w:p>
      <w:pPr>
        <w:pStyle w:val="null3"/>
        <w:ind w:firstLine="480"/>
        <w:jc w:val="left"/>
        <w:outlineLvl w:val="3"/>
      </w:pPr>
      <w:r>
        <w:rPr>
          <w:b/>
          <w:sz w:val="24"/>
        </w:rPr>
        <w:t>3.2.1服务内容</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447,000.00</w:t>
      </w:r>
    </w:p>
    <w:p>
      <w:pPr>
        <w:pStyle w:val="null3"/>
        <w:jc w:val="left"/>
      </w:pPr>
      <w:r>
        <w:rPr/>
        <w:t>采购包最高限价（元）: 447,000.00</w:t>
      </w:r>
    </w:p>
    <w:p>
      <w:pPr>
        <w:pStyle w:val="null3"/>
        <w:jc w:val="left"/>
      </w:pPr>
      <w:r>
        <w:rPr/>
        <w:t>供应商报价不允许超过标的金额</w:t>
      </w:r>
    </w:p>
    <w:p>
      <w:pPr>
        <w:pStyle w:val="null3"/>
        <w:jc w:val="left"/>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t>序号</w:t>
            </w:r>
          </w:p>
        </w:tc>
        <w:tc>
          <w:tcPr>
            <w:tcW w:type="dxa" w:w="831"/>
          </w:tcPr>
          <w:p>
            <w:pPr>
              <w:pStyle w:val="null3"/>
              <w:jc w:val="left"/>
            </w:pPr>
            <w:r>
              <w:rPr/>
              <w:t>标的名称</w:t>
            </w:r>
          </w:p>
        </w:tc>
        <w:tc>
          <w:tcPr>
            <w:tcW w:type="dxa" w:w="831"/>
          </w:tcPr>
          <w:p>
            <w:pPr>
              <w:pStyle w:val="null3"/>
              <w:jc w:val="left"/>
            </w:pPr>
            <w:r>
              <w:rPr/>
              <w:t>数量</w:t>
            </w:r>
          </w:p>
        </w:tc>
        <w:tc>
          <w:tcPr>
            <w:tcW w:type="dxa" w:w="831"/>
          </w:tcPr>
          <w:p>
            <w:pPr>
              <w:pStyle w:val="null3"/>
              <w:jc w:val="left"/>
            </w:pPr>
            <w:r>
              <w:rPr/>
              <w:t>标的金额 （元）</w:t>
            </w:r>
          </w:p>
        </w:tc>
        <w:tc>
          <w:tcPr>
            <w:tcW w:type="dxa" w:w="831"/>
          </w:tcPr>
          <w:p>
            <w:pPr>
              <w:pStyle w:val="null3"/>
              <w:jc w:val="left"/>
            </w:pPr>
            <w:r>
              <w:rPr/>
              <w:t>计量单位</w:t>
            </w:r>
          </w:p>
        </w:tc>
        <w:tc>
          <w:tcPr>
            <w:tcW w:type="dxa" w:w="831"/>
          </w:tcPr>
          <w:p>
            <w:pPr>
              <w:pStyle w:val="null3"/>
              <w:jc w:val="left"/>
            </w:pPr>
            <w:r>
              <w:rPr/>
              <w:t>所属行业</w:t>
            </w:r>
          </w:p>
        </w:tc>
        <w:tc>
          <w:tcPr>
            <w:tcW w:type="dxa" w:w="831"/>
          </w:tcPr>
          <w:p>
            <w:pPr>
              <w:pStyle w:val="null3"/>
              <w:jc w:val="left"/>
            </w:pPr>
            <w:r>
              <w:rPr/>
              <w:t>是否核心产品</w:t>
            </w:r>
          </w:p>
        </w:tc>
        <w:tc>
          <w:tcPr>
            <w:tcW w:type="dxa" w:w="831"/>
          </w:tcPr>
          <w:p>
            <w:pPr>
              <w:pStyle w:val="null3"/>
              <w:jc w:val="left"/>
            </w:pPr>
            <w:r>
              <w:rPr/>
              <w:t>是否允许进口产品</w:t>
            </w:r>
          </w:p>
        </w:tc>
        <w:tc>
          <w:tcPr>
            <w:tcW w:type="dxa" w:w="831"/>
          </w:tcPr>
          <w:p>
            <w:pPr>
              <w:pStyle w:val="null3"/>
              <w:jc w:val="left"/>
            </w:pPr>
            <w:r>
              <w:rPr/>
              <w:t>是否属于节能产品</w:t>
            </w:r>
          </w:p>
        </w:tc>
        <w:tc>
          <w:tcPr>
            <w:tcW w:type="dxa" w:w="831"/>
          </w:tcPr>
          <w:p>
            <w:pPr>
              <w:pStyle w:val="null3"/>
              <w:jc w:val="left"/>
            </w:pPr>
            <w:r>
              <w:rPr/>
              <w:t>是否属于环境标志产品</w:t>
            </w:r>
          </w:p>
        </w:tc>
      </w:tr>
      <w:tr>
        <w:tc>
          <w:tcPr>
            <w:tcW w:type="dxa" w:w="831"/>
          </w:tcPr>
          <w:p>
            <w:pPr>
              <w:pStyle w:val="null3"/>
              <w:jc w:val="left"/>
            </w:pPr>
            <w:r>
              <w:rPr/>
              <w:t>1</w:t>
            </w:r>
          </w:p>
        </w:tc>
        <w:tc>
          <w:tcPr>
            <w:tcW w:type="dxa" w:w="831"/>
          </w:tcPr>
          <w:p>
            <w:pPr>
              <w:pStyle w:val="null3"/>
              <w:jc w:val="left"/>
            </w:pPr>
            <w:r>
              <w:rPr/>
              <w:t>自贡市自然资源和规划局自贡市城区地价动态监测项目（2023-2025年）</w:t>
            </w:r>
          </w:p>
        </w:tc>
        <w:tc>
          <w:tcPr>
            <w:tcW w:type="dxa" w:w="831"/>
          </w:tcPr>
          <w:p>
            <w:pPr>
              <w:pStyle w:val="null3"/>
              <w:jc w:val="right"/>
            </w:pPr>
            <w:r>
              <w:rPr/>
              <w:t>3.00</w:t>
            </w:r>
          </w:p>
        </w:tc>
        <w:tc>
          <w:tcPr>
            <w:tcW w:type="dxa" w:w="831"/>
          </w:tcPr>
          <w:p>
            <w:pPr>
              <w:pStyle w:val="null3"/>
              <w:jc w:val="right"/>
            </w:pPr>
            <w:r>
              <w:rPr/>
              <w:t>447,000.00</w:t>
            </w:r>
          </w:p>
        </w:tc>
        <w:tc>
          <w:tcPr>
            <w:tcW w:type="dxa" w:w="831"/>
          </w:tcPr>
          <w:p>
            <w:pPr>
              <w:pStyle w:val="null3"/>
              <w:jc w:val="left"/>
            </w:pPr>
            <w:r>
              <w:rPr/>
              <w:t>年</w:t>
            </w:r>
          </w:p>
        </w:tc>
        <w:tc>
          <w:tcPr>
            <w:tcW w:type="dxa" w:w="831"/>
          </w:tcPr>
          <w:p>
            <w:pPr>
              <w:pStyle w:val="null3"/>
              <w:jc w:val="left"/>
            </w:pPr>
            <w:r>
              <w:rPr/>
              <w:t>租赁和商务服务业</w:t>
            </w:r>
          </w:p>
        </w:tc>
        <w:tc>
          <w:tcPr>
            <w:tcW w:type="dxa" w:w="831"/>
          </w:tcPr>
          <w:p>
            <w:pPr>
              <w:pStyle w:val="null3"/>
              <w:jc w:val="left"/>
            </w:pPr>
            <w:r>
              <w:rPr/>
              <w:t>否</w:t>
            </w:r>
          </w:p>
        </w:tc>
        <w:tc>
          <w:tcPr>
            <w:tcW w:type="dxa" w:w="831"/>
          </w:tcPr>
          <w:p>
            <w:pPr>
              <w:pStyle w:val="null3"/>
              <w:jc w:val="left"/>
            </w:pPr>
            <w:r>
              <w:rPr/>
              <w:t>否</w:t>
            </w:r>
          </w:p>
        </w:tc>
        <w:tc>
          <w:tcPr>
            <w:tcW w:type="dxa" w:w="831"/>
          </w:tcPr>
          <w:p>
            <w:pPr>
              <w:pStyle w:val="null3"/>
              <w:jc w:val="left"/>
            </w:pPr>
            <w:r>
              <w:rPr/>
              <w:t>否</w:t>
            </w:r>
          </w:p>
        </w:tc>
        <w:tc>
          <w:tcPr>
            <w:tcW w:type="dxa" w:w="831"/>
          </w:tcPr>
          <w:p>
            <w:pPr>
              <w:pStyle w:val="null3"/>
              <w:jc w:val="left"/>
            </w:pPr>
            <w:r>
              <w:rPr/>
              <w:t>否</w:t>
            </w:r>
          </w:p>
        </w:tc>
      </w:tr>
    </w:tbl>
    <w:p>
      <w:pPr>
        <w:pStyle w:val="null3"/>
        <w:ind w:firstLine="480"/>
        <w:jc w:val="left"/>
        <w:outlineLvl w:val="2"/>
      </w:pPr>
      <w:r>
        <w:rPr>
          <w:b/>
          <w:sz w:val="28"/>
        </w:rPr>
        <w:t>3.2.2服务要求</w:t>
      </w:r>
    </w:p>
    <w:p>
      <w:pPr>
        <w:pStyle w:val="null3"/>
        <w:jc w:val="left"/>
      </w:pPr>
    </w:p>
    <w:p>
      <w:pPr>
        <w:pStyle w:val="null3"/>
        <w:jc w:val="left"/>
      </w:pPr>
    </w:p>
    <w:p>
      <w:pPr>
        <w:pStyle w:val="null3"/>
        <w:jc w:val="left"/>
      </w:pPr>
    </w:p>
    <w:p>
      <w:pPr>
        <w:pStyle w:val="null3"/>
        <w:jc w:val="left"/>
      </w:pPr>
      <w:r>
        <w:rPr/>
        <w:t>采购包1：</w:t>
      </w:r>
    </w:p>
    <w:p>
      <w:pPr>
        <w:pStyle w:val="null3"/>
        <w:jc w:val="left"/>
      </w:pPr>
    </w:p>
    <w:p>
      <w:pPr>
        <w:pStyle w:val="null3"/>
        <w:jc w:val="left"/>
      </w:pPr>
      <w:r>
        <w:rPr/>
        <w:t>标的名称：自贡市自然资源和规划局自贡市城区地价动态监测项目（2023-2025年）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参数性质</w:t>
            </w:r>
          </w:p>
        </w:tc>
        <w:tc>
          <w:tcPr>
            <w:tcW w:type="dxa" w:w="2769"/>
          </w:tcPr>
          <w:p>
            <w:pPr>
              <w:pStyle w:val="null3"/>
              <w:jc w:val="left"/>
            </w:pPr>
            <w:r>
              <w:rPr/>
              <w:t>序号</w:t>
            </w:r>
          </w:p>
        </w:tc>
        <w:tc>
          <w:tcPr>
            <w:tcW w:type="dxa" w:w="2769"/>
          </w:tcPr>
          <w:p>
            <w:pPr>
              <w:pStyle w:val="null3"/>
              <w:jc w:val="left"/>
            </w:pPr>
            <w:r>
              <w:rPr/>
              <w:t>技术参数与性能指标</w:t>
            </w:r>
          </w:p>
        </w:tc>
      </w:tr>
      <w:tr>
        <w:tc>
          <w:tcPr>
            <w:tcW w:type="dxa" w:w="2769"/>
          </w:tcPr>
          <w:p/>
        </w:tc>
        <w:tc>
          <w:tcPr>
            <w:tcW w:type="dxa" w:w="2769"/>
          </w:tcPr>
          <w:p>
            <w:pPr>
              <w:pStyle w:val="null3"/>
              <w:jc w:val="left"/>
            </w:pPr>
            <w:r>
              <w:rPr/>
              <w:t>1</w:t>
            </w:r>
          </w:p>
        </w:tc>
        <w:tc>
          <w:tcPr>
            <w:tcW w:type="dxa" w:w="2769"/>
          </w:tcPr>
          <w:p>
            <w:pPr>
              <w:pStyle w:val="null3"/>
              <w:ind w:firstLine="560"/>
              <w:jc w:val="left"/>
            </w:pPr>
            <w:r>
              <w:rPr>
                <w:rFonts w:ascii="宋体" w:hAnsi="宋体" w:cs="宋体" w:eastAsia="宋体"/>
                <w:sz w:val="28"/>
              </w:rPr>
              <w:t>1、技术依据:</w:t>
            </w:r>
          </w:p>
          <w:p>
            <w:pPr>
              <w:pStyle w:val="null3"/>
              <w:ind w:firstLine="560"/>
              <w:jc w:val="left"/>
            </w:pPr>
            <w:r>
              <w:rPr>
                <w:rFonts w:ascii="宋体" w:hAnsi="宋体" w:cs="宋体" w:eastAsia="宋体"/>
                <w:sz w:val="28"/>
              </w:rPr>
              <w:t>1.1《城镇土地分等定级规程》（GB/T 18507-2014）；</w:t>
            </w:r>
          </w:p>
          <w:p>
            <w:pPr>
              <w:pStyle w:val="null3"/>
              <w:ind w:firstLine="560"/>
              <w:jc w:val="left"/>
            </w:pPr>
            <w:r>
              <w:rPr>
                <w:rFonts w:ascii="宋体" w:hAnsi="宋体" w:cs="宋体" w:eastAsia="宋体"/>
                <w:sz w:val="28"/>
              </w:rPr>
              <w:t>1.2《城镇土地估价规程》（GB/T 18508-2014）；</w:t>
            </w:r>
          </w:p>
          <w:p>
            <w:pPr>
              <w:pStyle w:val="null3"/>
              <w:ind w:firstLine="560"/>
              <w:jc w:val="left"/>
            </w:pPr>
            <w:r>
              <w:rPr>
                <w:rFonts w:ascii="宋体" w:hAnsi="宋体" w:cs="宋体" w:eastAsia="宋体"/>
                <w:sz w:val="28"/>
              </w:rPr>
              <w:t>1.3《城市地价动态监测技术规范》（TD/T 1009－2007）；</w:t>
            </w:r>
          </w:p>
          <w:p>
            <w:pPr>
              <w:pStyle w:val="null3"/>
              <w:ind w:firstLine="548"/>
              <w:jc w:val="both"/>
            </w:pPr>
            <w:r>
              <w:rPr>
                <w:rFonts w:ascii="宋体" w:hAnsi="宋体" w:cs="宋体" w:eastAsia="宋体"/>
                <w:sz w:val="28"/>
              </w:rPr>
              <w:t>2、技术线路：按照《城市地价动态监测技术规范》（</w:t>
            </w:r>
            <w:r>
              <w:rPr>
                <w:rFonts w:ascii="&quot;times new roman&quot;" w:hAnsi="&quot;times new roman&quot;" w:cs="&quot;times new roman&quot;" w:eastAsia="&quot;times new roman&quot;"/>
                <w:sz w:val="28"/>
              </w:rPr>
              <w:t>TD/T 1009</w:t>
            </w:r>
            <w:r>
              <w:rPr>
                <w:rFonts w:ascii="宋体" w:hAnsi="宋体" w:cs="宋体" w:eastAsia="宋体"/>
                <w:sz w:val="28"/>
              </w:rPr>
              <w:t>－</w:t>
            </w:r>
            <w:r>
              <w:rPr>
                <w:rFonts w:ascii="&quot;times new roman&quot;" w:hAnsi="&quot;times new roman&quot;" w:cs="&quot;times new roman&quot;" w:eastAsia="&quot;times new roman&quot;"/>
                <w:sz w:val="28"/>
              </w:rPr>
              <w:t>2007</w:t>
            </w:r>
            <w:r>
              <w:rPr>
                <w:rFonts w:ascii="宋体" w:hAnsi="宋体" w:cs="宋体" w:eastAsia="宋体"/>
                <w:sz w:val="28"/>
              </w:rPr>
              <w:t>）的要求，通过对标准宗地数据采集和维护，采用评估等手段获取自贡市城区不同级别、不同区段、不同用地类型土地价格的各种数据，对地价现状进行调查和观测，然后通过系列的指标对城市地价状况进行全面的描述，同时对城市的地价状况做出基本的评价和判断，最后生成相关地价信息。通过对地价动态监测体系进行日常维护，以测算城市地价的水平及分析地价变化趋势，并依据地价动态监测成果按时调整城镇基准地价。具体流程如下：</w:t>
            </w:r>
            <w:r>
              <w:rPr>
                <w:rFonts w:ascii="calibri" w:hAnsi="calibri" w:cs="calibri" w:eastAsia="calibri"/>
                <w:sz w:val="24"/>
              </w:rPr>
              <w:t xml:space="preserve">    </w:t>
            </w:r>
          </w:p>
          <w:p>
            <w:pPr>
              <w:pStyle w:val="null3"/>
              <w:ind w:firstLine="548"/>
              <w:jc w:val="both"/>
            </w:pPr>
            <w:r>
              <w:rPr>
                <w:rFonts w:ascii="&quot;times new roman&quot;" w:hAnsi="&quot;times new roman&quot;" w:cs="&quot;times new roman&quot;" w:eastAsia="&quot;times new roman&quot;"/>
                <w:sz w:val="28"/>
              </w:rPr>
              <w:t>2.1</w:t>
            </w:r>
            <w:r>
              <w:rPr>
                <w:rFonts w:ascii="宋体" w:hAnsi="宋体" w:cs="宋体" w:eastAsia="宋体"/>
                <w:sz w:val="28"/>
              </w:rPr>
              <w:t>确定地价动态监测的范围；</w:t>
            </w:r>
          </w:p>
          <w:p>
            <w:pPr>
              <w:pStyle w:val="null3"/>
              <w:ind w:firstLine="548"/>
              <w:jc w:val="both"/>
            </w:pPr>
            <w:r>
              <w:rPr>
                <w:rFonts w:ascii="&quot;times new roman&quot;" w:hAnsi="&quot;times new roman&quot;" w:cs="&quot;times new roman&quot;" w:eastAsia="&quot;times new roman&quot;"/>
                <w:sz w:val="28"/>
              </w:rPr>
              <w:t>2.2</w:t>
            </w:r>
            <w:r>
              <w:rPr>
                <w:rFonts w:ascii="宋体" w:hAnsi="宋体" w:cs="宋体" w:eastAsia="宋体"/>
                <w:sz w:val="28"/>
              </w:rPr>
              <w:t>划分地价区段；</w:t>
            </w:r>
          </w:p>
          <w:p>
            <w:pPr>
              <w:pStyle w:val="null3"/>
              <w:ind w:firstLine="548"/>
              <w:jc w:val="both"/>
            </w:pPr>
            <w:r>
              <w:rPr>
                <w:rFonts w:ascii="&quot;times new roman&quot;" w:hAnsi="&quot;times new roman&quot;" w:cs="&quot;times new roman&quot;" w:eastAsia="&quot;times new roman&quot;"/>
                <w:sz w:val="28"/>
              </w:rPr>
              <w:t>2.3</w:t>
            </w:r>
            <w:r>
              <w:rPr>
                <w:rFonts w:ascii="宋体" w:hAnsi="宋体" w:cs="宋体" w:eastAsia="宋体"/>
                <w:sz w:val="28"/>
              </w:rPr>
              <w:t>建立以标准宗地为基础的数据源；</w:t>
            </w:r>
          </w:p>
          <w:p>
            <w:pPr>
              <w:pStyle w:val="null3"/>
              <w:ind w:firstLine="548"/>
              <w:jc w:val="both"/>
            </w:pPr>
            <w:r>
              <w:rPr>
                <w:rFonts w:ascii="&quot;times new roman&quot;" w:hAnsi="&quot;times new roman&quot;" w:cs="&quot;times new roman&quot;" w:eastAsia="&quot;times new roman&quot;"/>
                <w:sz w:val="28"/>
              </w:rPr>
              <w:t>2.4</w:t>
            </w:r>
            <w:r>
              <w:rPr>
                <w:rFonts w:ascii="宋体" w:hAnsi="宋体" w:cs="宋体" w:eastAsia="宋体"/>
                <w:sz w:val="28"/>
              </w:rPr>
              <w:t>标准宗地的维护；</w:t>
            </w:r>
          </w:p>
          <w:p>
            <w:pPr>
              <w:pStyle w:val="null3"/>
              <w:ind w:firstLine="548"/>
              <w:jc w:val="both"/>
            </w:pPr>
            <w:r>
              <w:rPr>
                <w:rFonts w:ascii="&quot;times new roman&quot;" w:hAnsi="&quot;times new roman&quot;" w:cs="&quot;times new roman&quot;" w:eastAsia="&quot;times new roman&quot;"/>
                <w:sz w:val="28"/>
              </w:rPr>
              <w:t>2.5</w:t>
            </w:r>
            <w:r>
              <w:rPr>
                <w:rFonts w:ascii="宋体" w:hAnsi="宋体" w:cs="宋体" w:eastAsia="宋体"/>
                <w:sz w:val="28"/>
              </w:rPr>
              <w:t>地价动态监测数据的采集；</w:t>
            </w:r>
          </w:p>
          <w:p>
            <w:pPr>
              <w:pStyle w:val="null3"/>
              <w:ind w:firstLine="548"/>
              <w:jc w:val="both"/>
            </w:pPr>
            <w:r>
              <w:rPr>
                <w:rFonts w:ascii="&quot;times new roman&quot;" w:hAnsi="&quot;times new roman&quot;" w:cs="&quot;times new roman&quot;" w:eastAsia="&quot;times new roman&quot;"/>
                <w:sz w:val="28"/>
              </w:rPr>
              <w:t>2.6</w:t>
            </w:r>
            <w:r>
              <w:rPr>
                <w:rFonts w:ascii="宋体" w:hAnsi="宋体" w:cs="宋体" w:eastAsia="宋体"/>
                <w:sz w:val="28"/>
              </w:rPr>
              <w:t>地价动态监测指标测算；</w:t>
            </w:r>
          </w:p>
          <w:p>
            <w:pPr>
              <w:pStyle w:val="null3"/>
              <w:ind w:firstLine="548"/>
              <w:jc w:val="both"/>
            </w:pPr>
            <w:r>
              <w:rPr>
                <w:rFonts w:ascii="&quot;times new roman&quot;" w:hAnsi="&quot;times new roman&quot;" w:cs="&quot;times new roman&quot;" w:eastAsia="&quot;times new roman&quot;"/>
                <w:sz w:val="28"/>
              </w:rPr>
              <w:t>2.7</w:t>
            </w:r>
            <w:r>
              <w:rPr>
                <w:rFonts w:ascii="宋体" w:hAnsi="宋体" w:cs="宋体" w:eastAsia="宋体"/>
                <w:sz w:val="28"/>
              </w:rPr>
              <w:t>地价动态监测成果的形成与上报；</w:t>
            </w:r>
          </w:p>
          <w:p>
            <w:pPr>
              <w:pStyle w:val="null3"/>
              <w:ind w:firstLine="560"/>
              <w:jc w:val="left"/>
            </w:pPr>
            <w:r>
              <w:rPr>
                <w:rFonts w:ascii="&quot;times new roman&quot;" w:hAnsi="&quot;times new roman&quot;" w:cs="&quot;times new roman&quot;" w:eastAsia="&quot;times new roman&quot;"/>
                <w:sz w:val="28"/>
              </w:rPr>
              <w:t>2.8</w:t>
            </w:r>
            <w:r>
              <w:rPr>
                <w:rFonts w:ascii="宋体" w:hAnsi="宋体" w:cs="宋体" w:eastAsia="宋体"/>
                <w:sz w:val="28"/>
              </w:rPr>
              <w:t>发布地价动态监测成果；</w:t>
            </w:r>
          </w:p>
          <w:p>
            <w:pPr>
              <w:pStyle w:val="null3"/>
              <w:ind w:firstLine="570"/>
              <w:jc w:val="both"/>
            </w:pPr>
            <w:r>
              <w:rPr>
                <w:rFonts w:ascii="宋体" w:hAnsi="宋体" w:cs="宋体" w:eastAsia="宋体"/>
                <w:sz w:val="28"/>
              </w:rPr>
              <w:t>3、在自贡市城市地价动态监测平台体系建立确定</w:t>
            </w:r>
            <w:r>
              <w:rPr>
                <w:rFonts w:ascii="宋体" w:hAnsi="宋体" w:cs="宋体" w:eastAsia="宋体"/>
                <w:color w:val="000000"/>
                <w:sz w:val="28"/>
              </w:rPr>
              <w:t>的</w:t>
            </w:r>
            <w:r>
              <w:rPr>
                <w:rFonts w:ascii="宋体" w:hAnsi="宋体" w:cs="宋体" w:eastAsia="宋体"/>
                <w:sz w:val="28"/>
              </w:rPr>
              <w:t>标准宗地的基础上，每个季度开展地价动态监测维护工作。具体工作内容为：</w:t>
            </w:r>
          </w:p>
          <w:p>
            <w:pPr>
              <w:pStyle w:val="null3"/>
              <w:ind w:firstLine="560"/>
              <w:jc w:val="both"/>
            </w:pPr>
            <w:r>
              <w:rPr>
                <w:rFonts w:ascii="&quot;times new roman&quot;" w:hAnsi="&quot;times new roman&quot;" w:cs="&quot;times new roman&quot;" w:eastAsia="&quot;times new roman&quot;"/>
                <w:sz w:val="28"/>
              </w:rPr>
              <w:t>3.1</w:t>
            </w:r>
            <w:r>
              <w:rPr>
                <w:rFonts w:ascii="宋体" w:hAnsi="宋体" w:cs="宋体" w:eastAsia="宋体"/>
                <w:sz w:val="28"/>
              </w:rPr>
              <w:t>地价信息调查</w:t>
            </w:r>
          </w:p>
          <w:p>
            <w:pPr>
              <w:pStyle w:val="null3"/>
              <w:ind w:firstLine="560"/>
              <w:jc w:val="both"/>
            </w:pPr>
            <w:r>
              <w:rPr>
                <w:rFonts w:ascii="&quot;times new roman&quot;" w:hAnsi="&quot;times new roman&quot;" w:cs="&quot;times new roman&quot;" w:eastAsia="&quot;times new roman&quot;"/>
                <w:sz w:val="28"/>
              </w:rPr>
              <w:t>3.1.1</w:t>
            </w:r>
            <w:r>
              <w:rPr>
                <w:rFonts w:ascii="宋体" w:hAnsi="宋体" w:cs="宋体" w:eastAsia="宋体"/>
                <w:sz w:val="28"/>
              </w:rPr>
              <w:t>在自贡市城市地价动态监测平台体系建立确定的标准宗地的基础上，展开标准宗地信息调查：主要调查核实标准宗地的基本情况与平台建立时是否发生变化，对变化情况实行更新。</w:t>
            </w:r>
          </w:p>
          <w:p>
            <w:pPr>
              <w:pStyle w:val="null3"/>
              <w:ind w:firstLine="560"/>
              <w:jc w:val="both"/>
            </w:pPr>
            <w:r>
              <w:rPr>
                <w:rFonts w:ascii="&quot;times new roman&quot;" w:hAnsi="&quot;times new roman&quot;" w:cs="&quot;times new roman&quot;" w:eastAsia="&quot;times new roman&quot;"/>
                <w:sz w:val="28"/>
              </w:rPr>
              <w:t>a.</w:t>
            </w:r>
            <w:r>
              <w:rPr>
                <w:rFonts w:ascii="宋体" w:hAnsi="宋体" w:cs="宋体" w:eastAsia="宋体"/>
                <w:sz w:val="28"/>
              </w:rPr>
              <w:t>标准宗地土地权属核实：包括土地使用者、位置、面积、使用权类型、土地年限、国有土地使用证编号、宗地图等标准宗地权属基本情况</w:t>
            </w:r>
          </w:p>
          <w:p>
            <w:pPr>
              <w:pStyle w:val="null3"/>
              <w:ind w:firstLine="560"/>
              <w:jc w:val="both"/>
            </w:pPr>
            <w:r>
              <w:rPr>
                <w:rFonts w:ascii="&quot;times new roman&quot;" w:hAnsi="&quot;times new roman&quot;" w:cs="&quot;times new roman&quot;" w:eastAsia="&quot;times new roman&quot;"/>
                <w:sz w:val="28"/>
              </w:rPr>
              <w:t>b.</w:t>
            </w:r>
            <w:r>
              <w:rPr>
                <w:rFonts w:ascii="宋体" w:hAnsi="宋体" w:cs="宋体" w:eastAsia="宋体"/>
                <w:sz w:val="28"/>
              </w:rPr>
              <w:t>标准宗地土地使用状况：包括土地用途、现状开发程度、宗地形状、建筑面积、建筑容积率、土地利用现状照片等。</w:t>
            </w:r>
          </w:p>
          <w:p>
            <w:pPr>
              <w:pStyle w:val="null3"/>
              <w:ind w:firstLine="560"/>
              <w:jc w:val="both"/>
            </w:pPr>
            <w:r>
              <w:rPr>
                <w:rFonts w:ascii="&quot;times new roman&quot;" w:hAnsi="&quot;times new roman&quot;" w:cs="&quot;times new roman&quot;" w:eastAsia="&quot;times new roman&quot;"/>
                <w:sz w:val="28"/>
              </w:rPr>
              <w:t>c.</w:t>
            </w:r>
            <w:r>
              <w:rPr>
                <w:rFonts w:ascii="宋体" w:hAnsi="宋体" w:cs="宋体" w:eastAsia="宋体"/>
                <w:sz w:val="28"/>
              </w:rPr>
              <w:t>标准宗地区域条件：包括区域距市中心距离、所在土地级别、基准地价水平、周围交通条件、周围环境条件、规划及其它限制条件。</w:t>
            </w:r>
          </w:p>
          <w:p>
            <w:pPr>
              <w:pStyle w:val="null3"/>
              <w:ind w:firstLine="560"/>
              <w:jc w:val="both"/>
            </w:pPr>
            <w:r>
              <w:rPr>
                <w:rFonts w:ascii="&quot;times new roman&quot;" w:hAnsi="&quot;times new roman&quot;" w:cs="&quot;times new roman&quot;" w:eastAsia="&quot;times new roman&quot;"/>
                <w:sz w:val="28"/>
              </w:rPr>
              <w:t>d.</w:t>
            </w:r>
            <w:r>
              <w:rPr>
                <w:rFonts w:ascii="宋体" w:hAnsi="宋体" w:cs="宋体" w:eastAsia="宋体"/>
                <w:sz w:val="28"/>
              </w:rPr>
              <w:t>标准宗地个别条件：包括地质条件、临街状况、宗地内建筑物等。</w:t>
            </w:r>
          </w:p>
          <w:p>
            <w:pPr>
              <w:pStyle w:val="null3"/>
              <w:ind w:firstLine="560"/>
              <w:jc w:val="both"/>
            </w:pPr>
            <w:r>
              <w:rPr>
                <w:rFonts w:ascii="&quot;times new roman&quot;" w:hAnsi="&quot;times new roman&quot;" w:cs="&quot;times new roman&quot;" w:eastAsia="&quot;times new roman&quot;"/>
                <w:sz w:val="28"/>
              </w:rPr>
              <w:t>3.1.2</w:t>
            </w:r>
            <w:r>
              <w:rPr>
                <w:rFonts w:ascii="宋体" w:hAnsi="宋体" w:cs="宋体" w:eastAsia="宋体"/>
                <w:sz w:val="28"/>
              </w:rPr>
              <w:t>交易样点调查：主要包括土地、房屋交易样点资料，对基期资料进行补充和更新</w:t>
            </w:r>
          </w:p>
          <w:p>
            <w:pPr>
              <w:pStyle w:val="null3"/>
              <w:ind w:firstLine="560"/>
              <w:jc w:val="both"/>
            </w:pPr>
            <w:r>
              <w:rPr>
                <w:rFonts w:ascii="&quot;times new roman&quot;" w:hAnsi="&quot;times new roman&quot;" w:cs="&quot;times new roman&quot;" w:eastAsia="&quot;times new roman&quot;"/>
                <w:sz w:val="28"/>
              </w:rPr>
              <w:t>a.</w:t>
            </w:r>
            <w:r>
              <w:rPr>
                <w:rFonts w:ascii="宋体" w:hAnsi="宋体" w:cs="宋体" w:eastAsia="宋体"/>
                <w:sz w:val="28"/>
              </w:rPr>
              <w:t>土地交易样点：主要是招标、拍卖、挂牌交易样点，包括交易样点编号、所在级别、用途、土地位置、土地面积、容积率、土地使用年期、开发程度、交易价格、交易方式、交易日期等。</w:t>
            </w:r>
          </w:p>
          <w:p>
            <w:pPr>
              <w:pStyle w:val="null3"/>
              <w:ind w:firstLine="560"/>
              <w:jc w:val="both"/>
            </w:pPr>
            <w:r>
              <w:rPr>
                <w:rFonts w:ascii="&quot;times new roman&quot;" w:hAnsi="&quot;times new roman&quot;" w:cs="&quot;times new roman&quot;" w:eastAsia="&quot;times new roman&quot;"/>
                <w:sz w:val="28"/>
              </w:rPr>
              <w:t>b.</w:t>
            </w:r>
            <w:r>
              <w:rPr>
                <w:rFonts w:ascii="宋体" w:hAnsi="宋体" w:cs="宋体" w:eastAsia="宋体"/>
                <w:sz w:val="28"/>
              </w:rPr>
              <w:t>房地产交易样点：包括位置、用途、结构、建筑面积、交易价格、租金水平、重置价格、所在土地级别、使用年期等。</w:t>
            </w:r>
          </w:p>
          <w:p>
            <w:pPr>
              <w:pStyle w:val="null3"/>
              <w:ind w:firstLine="280"/>
              <w:jc w:val="both"/>
            </w:pPr>
            <w:r>
              <w:rPr>
                <w:rFonts w:ascii="&quot;times new roman&quot;" w:hAnsi="&quot;times new roman&quot;" w:cs="&quot;times new roman&quot;" w:eastAsia="&quot;times new roman&quot;"/>
                <w:sz w:val="28"/>
              </w:rPr>
              <w:t>3.1.3</w:t>
            </w:r>
            <w:r>
              <w:rPr>
                <w:rFonts w:ascii="宋体" w:hAnsi="宋体" w:cs="宋体" w:eastAsia="宋体"/>
                <w:sz w:val="28"/>
              </w:rPr>
              <w:t>城市一般信息：主要为与房地产相关的经济信息和基础设施信息，对基期信息进行更新和补充</w:t>
            </w:r>
          </w:p>
          <w:p>
            <w:pPr>
              <w:pStyle w:val="null3"/>
              <w:ind w:firstLine="560"/>
              <w:jc w:val="both"/>
            </w:pPr>
            <w:r>
              <w:rPr>
                <w:rFonts w:ascii="&quot;times new roman&quot;" w:hAnsi="&quot;times new roman&quot;" w:cs="&quot;times new roman&quot;" w:eastAsia="&quot;times new roman&quot;"/>
                <w:sz w:val="28"/>
              </w:rPr>
              <w:t>a.</w:t>
            </w:r>
            <w:r>
              <w:rPr>
                <w:rFonts w:ascii="宋体" w:hAnsi="宋体" w:cs="宋体" w:eastAsia="宋体"/>
                <w:sz w:val="28"/>
              </w:rPr>
              <w:t>城市基础资料：包括城市行政区划、自然因素、基础设施、环境总量等。</w:t>
            </w:r>
          </w:p>
          <w:p>
            <w:pPr>
              <w:pStyle w:val="null3"/>
              <w:ind w:firstLine="560"/>
              <w:jc w:val="both"/>
            </w:pPr>
            <w:r>
              <w:rPr>
                <w:rFonts w:ascii="&quot;times new roman&quot;" w:hAnsi="&quot;times new roman&quot;" w:cs="&quot;times new roman&quot;" w:eastAsia="&quot;times new roman&quot;"/>
                <w:sz w:val="28"/>
              </w:rPr>
              <w:t>b.</w:t>
            </w:r>
            <w:r>
              <w:rPr>
                <w:rFonts w:ascii="宋体" w:hAnsi="宋体" w:cs="宋体" w:eastAsia="宋体"/>
                <w:sz w:val="28"/>
              </w:rPr>
              <w:t>城市社会经济发展有关资料，包括国内生产总值、固定资产投资额、房地产开发投资额等。</w:t>
            </w:r>
          </w:p>
          <w:p>
            <w:pPr>
              <w:pStyle w:val="null3"/>
              <w:ind w:firstLine="560"/>
              <w:jc w:val="both"/>
            </w:pPr>
            <w:r>
              <w:rPr>
                <w:rFonts w:ascii="&quot;times new roman&quot;" w:hAnsi="&quot;times new roman&quot;" w:cs="&quot;times new roman&quot;" w:eastAsia="&quot;times new roman&quot;"/>
                <w:sz w:val="28"/>
              </w:rPr>
              <w:t>c.</w:t>
            </w:r>
            <w:r>
              <w:rPr>
                <w:rFonts w:ascii="宋体" w:hAnsi="宋体" w:cs="宋体" w:eastAsia="宋体"/>
                <w:sz w:val="28"/>
              </w:rPr>
              <w:t>土地供需资料：包括土地年度计划供应量、年度实际供应量。</w:t>
            </w:r>
          </w:p>
          <w:p>
            <w:pPr>
              <w:pStyle w:val="null3"/>
              <w:ind w:firstLine="560"/>
              <w:jc w:val="both"/>
            </w:pPr>
            <w:r>
              <w:rPr>
                <w:rFonts w:ascii="&quot;times new roman&quot;" w:hAnsi="&quot;times new roman&quot;" w:cs="&quot;times new roman&quot;" w:eastAsia="&quot;times new roman&quot;"/>
                <w:sz w:val="28"/>
              </w:rPr>
              <w:t>3.2</w:t>
            </w:r>
            <w:r>
              <w:rPr>
                <w:rFonts w:ascii="宋体" w:hAnsi="宋体" w:cs="宋体" w:eastAsia="宋体"/>
                <w:sz w:val="28"/>
              </w:rPr>
              <w:t>地价信息整理、计算、分析。</w:t>
            </w:r>
          </w:p>
          <w:p>
            <w:pPr>
              <w:pStyle w:val="null3"/>
              <w:ind w:firstLine="560"/>
              <w:jc w:val="both"/>
            </w:pPr>
            <w:r>
              <w:rPr>
                <w:rFonts w:ascii="&quot;times new roman&quot;" w:hAnsi="&quot;times new roman&quot;" w:cs="&quot;times new roman&quot;" w:eastAsia="&quot;times new roman&quot;"/>
                <w:sz w:val="28"/>
              </w:rPr>
              <w:t>3.2.1</w:t>
            </w:r>
            <w:r>
              <w:rPr>
                <w:rFonts w:ascii="宋体" w:hAnsi="宋体" w:cs="宋体" w:eastAsia="宋体"/>
                <w:sz w:val="28"/>
              </w:rPr>
              <w:t>标准宗地评估：通过调查的标准宗地地价信息，对标准宗地按标准宗地设定条件进行评估，取得分析基础计算资料。</w:t>
            </w:r>
          </w:p>
          <w:p>
            <w:pPr>
              <w:pStyle w:val="null3"/>
              <w:ind w:firstLine="560"/>
              <w:jc w:val="both"/>
            </w:pPr>
            <w:r>
              <w:rPr>
                <w:rFonts w:ascii="&quot;times new roman&quot;" w:hAnsi="&quot;times new roman&quot;" w:cs="&quot;times new roman&quot;" w:eastAsia="&quot;times new roman&quot;"/>
                <w:sz w:val="28"/>
              </w:rPr>
              <w:t>3.2.2</w:t>
            </w:r>
            <w:r>
              <w:rPr>
                <w:rFonts w:ascii="宋体" w:hAnsi="宋体" w:cs="宋体" w:eastAsia="宋体"/>
                <w:sz w:val="28"/>
              </w:rPr>
              <w:t>编制地价指数：通过各标准宗地评估价格和地价区段面积统计，计算各类用地各个地价区段、级别区域和城市总体平均地价，确定各类用地不同区域及城市整体的各季度及年度地价指数。地价指数包含环比指数和以基准地价更新成果为基期的定比指数。</w:t>
            </w:r>
          </w:p>
          <w:p>
            <w:pPr>
              <w:pStyle w:val="null3"/>
              <w:ind w:firstLine="560"/>
              <w:jc w:val="both"/>
            </w:pPr>
            <w:r>
              <w:rPr>
                <w:rFonts w:ascii="&quot;times new roman&quot;" w:hAnsi="&quot;times new roman&quot;" w:cs="&quot;times new roman&quot;" w:eastAsia="&quot;times new roman&quot;"/>
                <w:sz w:val="28"/>
              </w:rPr>
              <w:t>3.2.3</w:t>
            </w:r>
            <w:r>
              <w:rPr>
                <w:rFonts w:ascii="宋体" w:hAnsi="宋体" w:cs="宋体" w:eastAsia="宋体"/>
                <w:sz w:val="28"/>
              </w:rPr>
              <w:t>整理自贡城市一般经济信息，计算各经济指标增长率。</w:t>
            </w:r>
          </w:p>
          <w:p>
            <w:pPr>
              <w:pStyle w:val="null3"/>
              <w:ind w:firstLine="560"/>
              <w:jc w:val="both"/>
            </w:pPr>
            <w:r>
              <w:rPr>
                <w:rFonts w:ascii="&quot;times new roman&quot;" w:hAnsi="&quot;times new roman&quot;" w:cs="&quot;times new roman&quot;" w:eastAsia="&quot;times new roman&quot;"/>
                <w:sz w:val="28"/>
              </w:rPr>
              <w:t>3.2.4</w:t>
            </w:r>
            <w:r>
              <w:rPr>
                <w:rFonts w:ascii="宋体" w:hAnsi="宋体" w:cs="宋体" w:eastAsia="宋体"/>
                <w:sz w:val="28"/>
              </w:rPr>
              <w:t>对比分析地价增长与经济增长的关系；</w:t>
            </w:r>
          </w:p>
          <w:p>
            <w:pPr>
              <w:pStyle w:val="null3"/>
              <w:ind w:firstLine="420"/>
              <w:jc w:val="both"/>
            </w:pPr>
            <w:r>
              <w:rPr>
                <w:rFonts w:ascii="&quot;times new roman&quot;" w:hAnsi="&quot;times new roman&quot;" w:cs="&quot;times new roman&quot;" w:eastAsia="&quot;times new roman&quot;"/>
                <w:sz w:val="28"/>
              </w:rPr>
              <w:t>3.3</w:t>
            </w:r>
            <w:r>
              <w:rPr>
                <w:rFonts w:ascii="宋体" w:hAnsi="宋体" w:cs="宋体" w:eastAsia="宋体"/>
                <w:sz w:val="28"/>
              </w:rPr>
              <w:t>标准宗地更新</w:t>
            </w:r>
          </w:p>
          <w:p>
            <w:pPr>
              <w:pStyle w:val="null3"/>
              <w:ind w:firstLine="560"/>
              <w:jc w:val="both"/>
            </w:pPr>
            <w:r>
              <w:rPr>
                <w:rFonts w:ascii="&quot;times new roman&quot;" w:hAnsi="&quot;times new roman&quot;" w:cs="&quot;times new roman&quot;" w:eastAsia="&quot;times new roman&quot;"/>
                <w:sz w:val="28"/>
              </w:rPr>
              <w:t>3.3.1</w:t>
            </w:r>
            <w:r>
              <w:rPr>
                <w:rFonts w:ascii="宋体" w:hAnsi="宋体" w:cs="宋体" w:eastAsia="宋体"/>
                <w:sz w:val="28"/>
              </w:rPr>
              <w:t>更换部分标准宗地。对部分需要更换的标准宗地，根据实际情况选择和补充新的标准宗地进行替代。</w:t>
            </w:r>
          </w:p>
          <w:p>
            <w:pPr>
              <w:pStyle w:val="null3"/>
              <w:ind w:firstLine="560"/>
              <w:jc w:val="both"/>
            </w:pPr>
            <w:r>
              <w:rPr>
                <w:rFonts w:ascii="&quot;times new roman&quot;" w:hAnsi="&quot;times new roman&quot;" w:cs="&quot;times new roman&quot;" w:eastAsia="&quot;times new roman&quot;"/>
                <w:sz w:val="28"/>
              </w:rPr>
              <w:t>3.3.2</w:t>
            </w:r>
            <w:r>
              <w:rPr>
                <w:rFonts w:ascii="宋体" w:hAnsi="宋体" w:cs="宋体" w:eastAsia="宋体"/>
                <w:sz w:val="28"/>
              </w:rPr>
              <w:t>增加部分标准宗地。由于城市建设的发展，对于部分需要添加的标准宗地，按照初始设置的方法进行添加设置。</w:t>
            </w:r>
          </w:p>
          <w:p>
            <w:pPr>
              <w:pStyle w:val="null3"/>
              <w:ind w:firstLine="560"/>
              <w:jc w:val="both"/>
            </w:pPr>
            <w:r>
              <w:rPr>
                <w:rFonts w:ascii="&quot;times new roman&quot;" w:hAnsi="&quot;times new roman&quot;" w:cs="&quot;times new roman&quot;" w:eastAsia="&quot;times new roman&quot;"/>
                <w:sz w:val="28"/>
              </w:rPr>
              <w:t>3.3.3</w:t>
            </w:r>
            <w:r>
              <w:rPr>
                <w:rFonts w:ascii="宋体" w:hAnsi="宋体" w:cs="宋体" w:eastAsia="宋体"/>
                <w:sz w:val="28"/>
              </w:rPr>
              <w:t>进行标准宗地变更登记，并更新标准宗地登记表。</w:t>
            </w:r>
          </w:p>
          <w:p>
            <w:pPr>
              <w:pStyle w:val="null3"/>
              <w:ind w:firstLine="560"/>
              <w:jc w:val="both"/>
            </w:pPr>
            <w:r>
              <w:rPr>
                <w:rFonts w:ascii="&quot;times new roman&quot;" w:hAnsi="&quot;times new roman&quot;" w:cs="&quot;times new roman&quot;" w:eastAsia="&quot;times new roman&quot;"/>
                <w:sz w:val="28"/>
              </w:rPr>
              <w:t>3.3.4</w:t>
            </w:r>
            <w:r>
              <w:rPr>
                <w:rFonts w:ascii="宋体" w:hAnsi="宋体" w:cs="宋体" w:eastAsia="宋体"/>
                <w:sz w:val="28"/>
              </w:rPr>
              <w:t>对城市土地利用状况以及地价水平在前述分析判断基础上，如果有需要，对地价区段界线进行适当调整，并同时更新区段面积等相关资料。</w:t>
            </w:r>
          </w:p>
          <w:p>
            <w:pPr>
              <w:pStyle w:val="null3"/>
              <w:ind w:firstLine="560"/>
              <w:jc w:val="both"/>
            </w:pPr>
            <w:r>
              <w:rPr>
                <w:rFonts w:ascii="&quot;times new roman&quot;" w:hAnsi="&quot;times new roman&quot;" w:cs="&quot;times new roman&quot;" w:eastAsia="&quot;times new roman&quot;"/>
                <w:sz w:val="28"/>
              </w:rPr>
              <w:t>3.3.5</w:t>
            </w:r>
            <w:r>
              <w:rPr>
                <w:rFonts w:ascii="宋体" w:hAnsi="宋体" w:cs="宋体" w:eastAsia="宋体"/>
                <w:sz w:val="28"/>
              </w:rPr>
              <w:t>根据更新后的标准宗地资料及地价区段情况，修编标准宗地分布图。</w:t>
            </w:r>
          </w:p>
          <w:p>
            <w:pPr>
              <w:pStyle w:val="null3"/>
              <w:ind w:firstLine="560"/>
              <w:jc w:val="both"/>
            </w:pPr>
            <w:r>
              <w:rPr>
                <w:rFonts w:ascii="&quot;times new roman&quot;" w:hAnsi="&quot;times new roman&quot;" w:cs="&quot;times new roman&quot;" w:eastAsia="&quot;times new roman&quot;"/>
                <w:sz w:val="28"/>
              </w:rPr>
              <w:t>4.1</w:t>
            </w:r>
            <w:r>
              <w:rPr>
                <w:rFonts w:ascii="宋体" w:hAnsi="宋体" w:cs="宋体" w:eastAsia="宋体"/>
                <w:sz w:val="28"/>
              </w:rPr>
              <w:t>编制成果</w:t>
            </w:r>
          </w:p>
          <w:p>
            <w:pPr>
              <w:pStyle w:val="null3"/>
              <w:ind w:firstLine="560"/>
              <w:jc w:val="both"/>
            </w:pPr>
            <w:r>
              <w:rPr>
                <w:rFonts w:ascii="&quot;times new roman&quot;" w:hAnsi="&quot;times new roman&quot;" w:cs="&quot;times new roman&quot;" w:eastAsia="&quot;times new roman&quot;"/>
                <w:sz w:val="28"/>
              </w:rPr>
              <w:t>4.1.1</w:t>
            </w:r>
            <w:r>
              <w:rPr>
                <w:rFonts w:ascii="宋体" w:hAnsi="宋体" w:cs="宋体" w:eastAsia="宋体"/>
                <w:sz w:val="28"/>
              </w:rPr>
              <w:t>更新标准宗地档案：包括标准宗地基本情况登记表、宗地图、宗地照片、宗地评估报告。</w:t>
            </w:r>
          </w:p>
          <w:p>
            <w:pPr>
              <w:pStyle w:val="null3"/>
              <w:ind w:firstLine="560"/>
              <w:jc w:val="both"/>
            </w:pPr>
            <w:r>
              <w:rPr>
                <w:rFonts w:ascii="&quot;times new roman&quot;" w:hAnsi="&quot;times new roman&quot;" w:cs="&quot;times new roman&quot;" w:eastAsia="&quot;times new roman&quot;"/>
                <w:sz w:val="28"/>
              </w:rPr>
              <w:t>4.1.2</w:t>
            </w:r>
            <w:r>
              <w:rPr>
                <w:rFonts w:ascii="宋体" w:hAnsi="宋体" w:cs="宋体" w:eastAsia="宋体"/>
                <w:sz w:val="28"/>
              </w:rPr>
              <w:t>编制地价指数表；</w:t>
            </w:r>
          </w:p>
          <w:p>
            <w:pPr>
              <w:pStyle w:val="null3"/>
              <w:ind w:firstLine="560"/>
              <w:jc w:val="both"/>
            </w:pPr>
            <w:r>
              <w:rPr>
                <w:rFonts w:ascii="&quot;times new roman&quot;" w:hAnsi="&quot;times new roman&quot;" w:cs="&quot;times new roman&quot;" w:eastAsia="&quot;times new roman&quot;"/>
                <w:sz w:val="28"/>
              </w:rPr>
              <w:t>4.1.3</w:t>
            </w:r>
            <w:r>
              <w:rPr>
                <w:rFonts w:ascii="宋体" w:hAnsi="宋体" w:cs="宋体" w:eastAsia="宋体"/>
                <w:sz w:val="28"/>
              </w:rPr>
              <w:t>地价区段和标准宗地更新分布图；</w:t>
            </w:r>
          </w:p>
          <w:p>
            <w:pPr>
              <w:pStyle w:val="null3"/>
              <w:ind w:firstLine="570"/>
              <w:jc w:val="both"/>
            </w:pPr>
            <w:r>
              <w:rPr>
                <w:rFonts w:ascii="&quot;times new roman&quot;" w:hAnsi="&quot;times new roman&quot;" w:cs="&quot;times new roman&quot;" w:eastAsia="&quot;times new roman&quot;"/>
                <w:sz w:val="28"/>
              </w:rPr>
              <w:t>4.1.4</w:t>
            </w:r>
            <w:r>
              <w:rPr>
                <w:rFonts w:ascii="宋体" w:hAnsi="宋体" w:cs="宋体" w:eastAsia="宋体"/>
                <w:sz w:val="28"/>
              </w:rPr>
              <w:t>编制年度地价分析报告。</w:t>
            </w:r>
          </w:p>
          <w:p>
            <w:pPr>
              <w:pStyle w:val="null3"/>
              <w:ind w:firstLine="560"/>
              <w:jc w:val="left"/>
            </w:pPr>
            <w:r>
              <w:rPr>
                <w:rFonts w:ascii="宋体" w:hAnsi="宋体" w:cs="宋体" w:eastAsia="宋体"/>
                <w:sz w:val="28"/>
              </w:rPr>
              <w:t>5、成果资料</w:t>
            </w:r>
          </w:p>
          <w:p>
            <w:pPr>
              <w:pStyle w:val="null3"/>
              <w:ind w:firstLine="570"/>
              <w:jc w:val="both"/>
            </w:pPr>
            <w:r>
              <w:rPr>
                <w:rFonts w:ascii="&quot;times new roman&quot;" w:hAnsi="&quot;times new roman&quot;" w:cs="&quot;times new roman&quot;" w:eastAsia="&quot;times new roman&quot;"/>
                <w:sz w:val="28"/>
              </w:rPr>
              <w:t>5.1</w:t>
            </w:r>
            <w:r>
              <w:rPr>
                <w:rFonts w:ascii="宋体" w:hAnsi="宋体" w:cs="宋体" w:eastAsia="宋体"/>
                <w:sz w:val="28"/>
              </w:rPr>
              <w:t>季度成果</w:t>
            </w:r>
          </w:p>
          <w:p>
            <w:pPr>
              <w:pStyle w:val="null3"/>
              <w:ind w:firstLine="560"/>
              <w:jc w:val="both"/>
            </w:pPr>
            <w:r>
              <w:rPr>
                <w:rFonts w:ascii="&quot;times new roman&quot;" w:hAnsi="&quot;times new roman&quot;" w:cs="&quot;times new roman&quot;" w:eastAsia="&quot;times new roman&quot;"/>
                <w:sz w:val="28"/>
              </w:rPr>
              <w:t>5.1.1</w:t>
            </w:r>
            <w:r>
              <w:rPr>
                <w:rFonts w:ascii="宋体" w:hAnsi="宋体" w:cs="宋体" w:eastAsia="宋体"/>
                <w:sz w:val="28"/>
              </w:rPr>
              <w:t>估价师标准宗地调查表（季度）</w:t>
            </w:r>
          </w:p>
          <w:p>
            <w:pPr>
              <w:pStyle w:val="null3"/>
              <w:ind w:firstLine="560"/>
              <w:jc w:val="both"/>
            </w:pPr>
            <w:r>
              <w:rPr>
                <w:rFonts w:ascii="&quot;times new roman&quot;" w:hAnsi="&quot;times new roman&quot;" w:cs="&quot;times new roman&quot;" w:eastAsia="&quot;times new roman&quot;"/>
                <w:sz w:val="28"/>
              </w:rPr>
              <w:t>5.1.2</w:t>
            </w:r>
            <w:r>
              <w:rPr>
                <w:rFonts w:ascii="宋体" w:hAnsi="宋体" w:cs="宋体" w:eastAsia="宋体"/>
                <w:sz w:val="28"/>
              </w:rPr>
              <w:t>技术承担单位标准宗地汇总表（季度）</w:t>
            </w:r>
          </w:p>
          <w:p>
            <w:pPr>
              <w:pStyle w:val="null3"/>
              <w:ind w:firstLine="560"/>
              <w:jc w:val="both"/>
            </w:pPr>
            <w:r>
              <w:rPr>
                <w:rFonts w:ascii="&quot;times new roman&quot;" w:hAnsi="&quot;times new roman&quot;" w:cs="&quot;times new roman&quot;" w:eastAsia="&quot;times new roman&quot;"/>
                <w:sz w:val="28"/>
              </w:rPr>
              <w:t>5.1.3</w:t>
            </w:r>
            <w:r>
              <w:rPr>
                <w:rFonts w:ascii="宋体" w:hAnsi="宋体" w:cs="宋体" w:eastAsia="宋体"/>
                <w:sz w:val="28"/>
              </w:rPr>
              <w:t>标准宗地地价评估技术要点表</w:t>
            </w:r>
          </w:p>
          <w:p>
            <w:pPr>
              <w:pStyle w:val="null3"/>
              <w:ind w:firstLine="560"/>
              <w:jc w:val="both"/>
            </w:pPr>
            <w:r>
              <w:rPr>
                <w:rFonts w:ascii="&quot;times new roman&quot;" w:hAnsi="&quot;times new roman&quot;" w:cs="&quot;times new roman&quot;" w:eastAsia="&quot;times new roman&quot;"/>
                <w:sz w:val="28"/>
              </w:rPr>
              <w:t>5.1.4</w:t>
            </w:r>
            <w:r>
              <w:rPr>
                <w:rFonts w:ascii="宋体" w:hAnsi="宋体" w:cs="宋体" w:eastAsia="宋体"/>
                <w:sz w:val="28"/>
              </w:rPr>
              <w:t>地价动态监测指标（季度）调查表（季度）</w:t>
            </w:r>
          </w:p>
          <w:p>
            <w:pPr>
              <w:pStyle w:val="null3"/>
              <w:ind w:firstLine="560"/>
              <w:jc w:val="both"/>
            </w:pPr>
            <w:r>
              <w:rPr>
                <w:rFonts w:ascii="&quot;times new roman&quot;" w:hAnsi="&quot;times new roman&quot;" w:cs="&quot;times new roman&quot;" w:eastAsia="&quot;times new roman&quot;"/>
                <w:sz w:val="28"/>
              </w:rPr>
              <w:t>5.1.5</w:t>
            </w:r>
            <w:r>
              <w:rPr>
                <w:rFonts w:ascii="宋体" w:hAnsi="宋体" w:cs="宋体" w:eastAsia="宋体"/>
                <w:sz w:val="28"/>
              </w:rPr>
              <w:t>标准宗地地价评估报告</w:t>
            </w:r>
          </w:p>
          <w:p>
            <w:pPr>
              <w:pStyle w:val="null3"/>
              <w:ind w:firstLine="560"/>
              <w:jc w:val="both"/>
            </w:pPr>
            <w:r>
              <w:rPr>
                <w:rFonts w:ascii="&quot;times new roman&quot;" w:hAnsi="&quot;times new roman&quot;" w:cs="&quot;times new roman&quot;" w:eastAsia="&quot;times new roman&quot;"/>
                <w:sz w:val="28"/>
              </w:rPr>
              <w:t>5.1.6</w:t>
            </w:r>
            <w:r>
              <w:rPr>
                <w:rFonts w:ascii="宋体" w:hAnsi="宋体" w:cs="宋体" w:eastAsia="宋体"/>
                <w:sz w:val="28"/>
              </w:rPr>
              <w:t>地价动态监测指标测算过程表（季度）</w:t>
            </w:r>
          </w:p>
          <w:p>
            <w:pPr>
              <w:pStyle w:val="null3"/>
              <w:ind w:firstLine="560"/>
              <w:jc w:val="both"/>
            </w:pPr>
            <w:r>
              <w:rPr>
                <w:rFonts w:ascii="&quot;times new roman&quot;" w:hAnsi="&quot;times new roman&quot;" w:cs="&quot;times new roman&quot;" w:eastAsia="&quot;times new roman&quot;"/>
                <w:sz w:val="28"/>
              </w:rPr>
              <w:t>5.1.7</w:t>
            </w:r>
            <w:r>
              <w:rPr>
                <w:rFonts w:ascii="宋体" w:hAnsi="宋体" w:cs="宋体" w:eastAsia="宋体"/>
                <w:sz w:val="28"/>
              </w:rPr>
              <w:t>土地交易样本（季度）调查表</w:t>
            </w:r>
          </w:p>
          <w:p>
            <w:pPr>
              <w:pStyle w:val="null3"/>
              <w:ind w:firstLine="560"/>
              <w:jc w:val="both"/>
            </w:pPr>
            <w:r>
              <w:rPr>
                <w:rFonts w:ascii="&quot;times new roman&quot;" w:hAnsi="&quot;times new roman&quot;" w:cs="&quot;times new roman&quot;" w:eastAsia="&quot;times new roman&quot;"/>
                <w:sz w:val="28"/>
              </w:rPr>
              <w:t>5.1.8</w:t>
            </w:r>
            <w:r>
              <w:rPr>
                <w:rFonts w:ascii="宋体" w:hAnsi="宋体" w:cs="宋体" w:eastAsia="宋体"/>
                <w:sz w:val="28"/>
              </w:rPr>
              <w:t>异常点汇总表</w:t>
            </w:r>
          </w:p>
          <w:p>
            <w:pPr>
              <w:pStyle w:val="null3"/>
              <w:ind w:firstLine="420"/>
              <w:jc w:val="both"/>
            </w:pPr>
            <w:r>
              <w:rPr>
                <w:rFonts w:ascii="宋体" w:hAnsi="宋体" w:cs="宋体" w:eastAsia="宋体"/>
                <w:sz w:val="28"/>
              </w:rPr>
              <w:t>季度内未发生土地交易或评估异常点，仍需上报空白的（</w:t>
            </w:r>
            <w:r>
              <w:rPr>
                <w:rFonts w:ascii="&quot;times new roman&quot;" w:hAnsi="&quot;times new roman&quot;" w:cs="&quot;times new roman&quot;" w:eastAsia="&quot;times new roman&quot;"/>
                <w:sz w:val="28"/>
              </w:rPr>
              <w:t>5.1.7</w:t>
            </w:r>
            <w:r>
              <w:rPr>
                <w:rFonts w:ascii="宋体" w:hAnsi="宋体" w:cs="宋体" w:eastAsia="宋体"/>
                <w:sz w:val="28"/>
              </w:rPr>
              <w:t>）、（</w:t>
            </w:r>
            <w:r>
              <w:rPr>
                <w:rFonts w:ascii="&quot;times new roman&quot;" w:hAnsi="&quot;times new roman&quot;" w:cs="&quot;times new roman&quot;" w:eastAsia="&quot;times new roman&quot;"/>
                <w:sz w:val="28"/>
              </w:rPr>
              <w:t>5.1.8</w:t>
            </w:r>
            <w:r>
              <w:rPr>
                <w:rFonts w:ascii="宋体" w:hAnsi="宋体" w:cs="宋体" w:eastAsia="宋体"/>
                <w:sz w:val="28"/>
              </w:rPr>
              <w:t>）。上报的（</w:t>
            </w:r>
            <w:r>
              <w:rPr>
                <w:rFonts w:ascii="&quot;times new roman&quot;" w:hAnsi="&quot;times new roman&quot;" w:cs="&quot;times new roman&quot;" w:eastAsia="&quot;times new roman&quot;"/>
                <w:sz w:val="28"/>
              </w:rPr>
              <w:t>5.1.2</w:t>
            </w:r>
            <w:r>
              <w:rPr>
                <w:rFonts w:ascii="宋体" w:hAnsi="宋体" w:cs="宋体" w:eastAsia="宋体"/>
                <w:sz w:val="28"/>
              </w:rPr>
              <w:t>）中，如确实仅能采用一种评估方法进行标准宗地评估的，需提交当地国土资源行政主管部门出具的正式证明文件（一年一次），并明确能够采用两种评估方法的预计时段；如采用的不同评估方法所确定的评估值之间存在</w:t>
            </w:r>
            <w:r>
              <w:rPr>
                <w:rFonts w:ascii="&quot;times new roman&quot;" w:hAnsi="&quot;times new roman&quot;" w:cs="&quot;times new roman&quot;" w:eastAsia="&quot;times new roman&quot;"/>
                <w:sz w:val="28"/>
              </w:rPr>
              <w:t>30%</w:t>
            </w:r>
            <w:r>
              <w:rPr>
                <w:rFonts w:ascii="宋体" w:hAnsi="宋体" w:cs="宋体" w:eastAsia="宋体"/>
                <w:sz w:val="28"/>
              </w:rPr>
              <w:t>以上差异时，需在（</w:t>
            </w:r>
            <w:r>
              <w:rPr>
                <w:rFonts w:ascii="&quot;times new roman&quot;" w:hAnsi="&quot;times new roman&quot;" w:cs="&quot;times new roman&quot;" w:eastAsia="&quot;times new roman&quot;"/>
                <w:sz w:val="28"/>
              </w:rPr>
              <w:t>5.1.2</w:t>
            </w:r>
            <w:r>
              <w:rPr>
                <w:rFonts w:ascii="宋体" w:hAnsi="宋体" w:cs="宋体" w:eastAsia="宋体"/>
                <w:sz w:val="28"/>
              </w:rPr>
              <w:t>）的备注栏中填写各评估方法权重确定理由的说明。</w:t>
            </w:r>
          </w:p>
          <w:p>
            <w:pPr>
              <w:pStyle w:val="null3"/>
              <w:ind w:firstLine="420"/>
              <w:jc w:val="both"/>
            </w:pPr>
            <w:r>
              <w:rPr>
                <w:rFonts w:ascii="&quot;times new roman&quot;" w:hAnsi="&quot;times new roman&quot;" w:cs="&quot;times new roman&quot;" w:eastAsia="&quot;times new roman&quot;"/>
                <w:sz w:val="28"/>
              </w:rPr>
              <w:t>5.2</w:t>
            </w:r>
            <w:r>
              <w:rPr>
                <w:rFonts w:ascii="宋体" w:hAnsi="宋体" w:cs="宋体" w:eastAsia="宋体"/>
                <w:sz w:val="28"/>
              </w:rPr>
              <w:t>年度成果</w:t>
            </w:r>
          </w:p>
          <w:p>
            <w:pPr>
              <w:pStyle w:val="null3"/>
              <w:ind w:firstLine="420"/>
              <w:jc w:val="both"/>
            </w:pPr>
            <w:r>
              <w:rPr>
                <w:rFonts w:ascii="宋体" w:hAnsi="宋体" w:cs="宋体" w:eastAsia="宋体"/>
                <w:sz w:val="28"/>
              </w:rPr>
              <w:t>表格类成果：</w:t>
            </w:r>
          </w:p>
          <w:p>
            <w:pPr>
              <w:pStyle w:val="null3"/>
              <w:ind w:left="420" w:firstLine="420"/>
              <w:jc w:val="both"/>
            </w:pPr>
            <w:r>
              <w:rPr>
                <w:rFonts w:ascii="&quot;times new roman&quot;" w:hAnsi="&quot;times new roman&quot;" w:cs="&quot;times new roman&quot;" w:eastAsia="&quot;times new roman&quot;"/>
                <w:sz w:val="28"/>
              </w:rPr>
              <w:t>5.2.1</w:t>
            </w:r>
            <w:r>
              <w:rPr>
                <w:rFonts w:ascii="宋体" w:hAnsi="宋体" w:cs="宋体" w:eastAsia="宋体"/>
                <w:sz w:val="28"/>
              </w:rPr>
              <w:t>地（年度）供需情况调查表</w:t>
            </w:r>
          </w:p>
          <w:p>
            <w:pPr>
              <w:pStyle w:val="null3"/>
              <w:spacing w:before="150"/>
              <w:ind w:firstLine="420"/>
              <w:jc w:val="both"/>
            </w:pPr>
            <w:r>
              <w:rPr>
                <w:rFonts w:ascii="宋体" w:hAnsi="宋体" w:cs="宋体" w:eastAsia="宋体"/>
                <w:sz w:val="28"/>
              </w:rPr>
              <w:t>注：如城市基准地价更新，还应填写城市基准地价更新情况调查表、路线价更新情况调查表）、区片地价更新情况调查表（无级别价、路线价、区片价中任意一种或几种的，应上报相应空表）连同基准地价成果图、表一并上报；如年内城市基准地价未更新，仍需上报与上一年度相同的表格。如基准地价成果已通过电子备案，取得电子备案号，则无需在此重复上报。</w:t>
            </w:r>
          </w:p>
          <w:p>
            <w:pPr>
              <w:pStyle w:val="null3"/>
              <w:ind w:firstLine="420"/>
              <w:jc w:val="both"/>
            </w:pPr>
            <w:r>
              <w:rPr>
                <w:rFonts w:ascii="宋体" w:hAnsi="宋体" w:cs="宋体" w:eastAsia="宋体"/>
                <w:sz w:val="28"/>
              </w:rPr>
              <w:t>报告类成果：</w:t>
            </w:r>
          </w:p>
          <w:p>
            <w:pPr>
              <w:pStyle w:val="null3"/>
              <w:ind w:firstLine="420"/>
              <w:jc w:val="both"/>
            </w:pPr>
            <w:r>
              <w:rPr>
                <w:rFonts w:ascii="&quot;times new roman&quot;" w:hAnsi="&quot;times new roman&quot;" w:cs="&quot;times new roman&quot;" w:eastAsia="&quot;times new roman&quot;"/>
                <w:sz w:val="28"/>
              </w:rPr>
              <w:t>5.2.2</w:t>
            </w:r>
            <w:r>
              <w:rPr>
                <w:rFonts w:ascii="宋体" w:hAnsi="宋体" w:cs="宋体" w:eastAsia="宋体"/>
                <w:sz w:val="28"/>
              </w:rPr>
              <w:t>年度地价状况分析报告</w:t>
            </w:r>
          </w:p>
          <w:p>
            <w:pPr>
              <w:pStyle w:val="null3"/>
              <w:ind w:firstLine="420"/>
              <w:jc w:val="both"/>
            </w:pPr>
            <w:r>
              <w:rPr>
                <w:rFonts w:ascii="宋体" w:hAnsi="宋体" w:cs="宋体" w:eastAsia="宋体"/>
                <w:sz w:val="28"/>
              </w:rPr>
              <w:t>注：上报的年度地价状况分析报告中应有市场形势变化、地价变动趋势分析等。</w:t>
            </w:r>
          </w:p>
          <w:p>
            <w:pPr>
              <w:pStyle w:val="null3"/>
              <w:ind w:firstLine="420"/>
              <w:jc w:val="both"/>
            </w:pPr>
            <w:r>
              <w:rPr>
                <w:rFonts w:ascii="宋体" w:hAnsi="宋体" w:cs="宋体" w:eastAsia="宋体"/>
                <w:sz w:val="28"/>
              </w:rPr>
              <w:t>图件成果：</w:t>
            </w:r>
          </w:p>
          <w:p>
            <w:pPr>
              <w:pStyle w:val="null3"/>
              <w:ind w:left="420" w:firstLine="420"/>
              <w:jc w:val="both"/>
            </w:pPr>
            <w:r>
              <w:rPr>
                <w:rFonts w:ascii="&quot;times new roman&quot;" w:hAnsi="&quot;times new roman&quot;" w:cs="&quot;times new roman&quot;" w:eastAsia="&quot;times new roman&quot;"/>
                <w:sz w:val="28"/>
              </w:rPr>
              <w:t>5.2.3</w:t>
            </w:r>
            <w:r>
              <w:rPr>
                <w:rFonts w:ascii="宋体" w:hAnsi="宋体" w:cs="宋体" w:eastAsia="宋体"/>
                <w:sz w:val="28"/>
              </w:rPr>
              <w:t>用途土地交易样本分布图（一种用途一张，每张图上包含该用途全年交易样点）</w:t>
            </w:r>
          </w:p>
          <w:p>
            <w:pPr>
              <w:pStyle w:val="null3"/>
              <w:ind w:firstLine="480"/>
              <w:jc w:val="both"/>
            </w:pPr>
            <w:r>
              <w:rPr>
                <w:rFonts w:ascii="&quot;times new roman&quot;" w:hAnsi="&quot;times new roman&quot;" w:cs="&quot;times new roman&quot;" w:eastAsia="&quot;times new roman&quot;"/>
                <w:sz w:val="28"/>
              </w:rPr>
              <w:t>5.2.4</w:t>
            </w:r>
            <w:r>
              <w:rPr>
                <w:rFonts w:ascii="宋体" w:hAnsi="宋体" w:cs="宋体" w:eastAsia="宋体"/>
                <w:sz w:val="28"/>
              </w:rPr>
              <w:t>基准地价更新图件。</w:t>
            </w:r>
          </w:p>
        </w:tc>
      </w:tr>
    </w:tbl>
    <w:p>
      <w:pPr>
        <w:pStyle w:val="null3"/>
        <w:ind w:firstLine="480"/>
        <w:jc w:val="left"/>
        <w:outlineLvl w:val="2"/>
      </w:pPr>
      <w:r>
        <w:rPr>
          <w:b/>
          <w:sz w:val="28"/>
        </w:rPr>
        <w:t>3.2.3人员配置要求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w:t>
      </w:r>
    </w:p>
    <w:p>
      <w:pPr>
        <w:pStyle w:val="null3"/>
        <w:ind w:firstLine="480"/>
        <w:jc w:val="left"/>
        <w:outlineLvl w:val="2"/>
      </w:pPr>
      <w:r>
        <w:rPr>
          <w:b/>
          <w:sz w:val="28"/>
        </w:rPr>
        <w:t>3.2.4设施设备要求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w:t>
      </w:r>
    </w:p>
    <w:p>
      <w:pPr>
        <w:pStyle w:val="null3"/>
        <w:ind w:firstLine="480"/>
        <w:jc w:val="left"/>
        <w:outlineLvl w:val="2"/>
      </w:pPr>
      <w:r>
        <w:rPr>
          <w:b/>
          <w:sz w:val="28"/>
        </w:rPr>
        <w:t>3.2.5其他要求</w:t>
      </w:r>
    </w:p>
    <w:p>
      <w:pPr>
        <w:pStyle w:val="null3"/>
        <w:jc w:val="left"/>
      </w:pPr>
    </w:p>
    <w:p>
      <w:pPr>
        <w:pStyle w:val="null3"/>
        <w:jc w:val="left"/>
      </w:pPr>
    </w:p>
    <w:p>
      <w:pPr>
        <w:pStyle w:val="null3"/>
        <w:jc w:val="left"/>
      </w:pPr>
    </w:p>
    <w:p>
      <w:pPr>
        <w:pStyle w:val="null3"/>
        <w:jc w:val="left"/>
      </w:pPr>
      <w:r>
        <w:rPr/>
        <w:t>采购包1：</w:t>
      </w:r>
    </w:p>
    <w:p>
      <w:pPr>
        <w:pStyle w:val="null3"/>
        <w:jc w:val="left"/>
      </w:pPr>
      <w:r>
        <w:rPr/>
        <w:t>/</w:t>
      </w:r>
    </w:p>
    <w:p>
      <w:pPr>
        <w:pStyle w:val="null3"/>
        <w:ind w:firstLine="480"/>
        <w:jc w:val="left"/>
        <w:outlineLvl w:val="2"/>
      </w:pPr>
      <w:r>
        <w:rPr>
          <w:b/>
          <w:sz w:val="28"/>
        </w:rPr>
        <w:t>3.3、商务要求</w:t>
      </w:r>
    </w:p>
    <w:p>
      <w:pPr>
        <w:pStyle w:val="null3"/>
        <w:ind w:firstLine="480"/>
        <w:jc w:val="left"/>
        <w:outlineLvl w:val="3"/>
      </w:pPr>
      <w:r>
        <w:rPr>
          <w:b/>
          <w:sz w:val="24"/>
        </w:rPr>
        <w:t>3.3.1服务期限</w:t>
      </w:r>
    </w:p>
    <w:p>
      <w:pPr>
        <w:pStyle w:val="null3"/>
        <w:jc w:val="left"/>
      </w:pPr>
    </w:p>
    <w:p>
      <w:pPr>
        <w:pStyle w:val="null3"/>
        <w:jc w:val="left"/>
      </w:pPr>
    </w:p>
    <w:p>
      <w:pPr>
        <w:pStyle w:val="null3"/>
        <w:jc w:val="left"/>
      </w:pPr>
    </w:p>
    <w:p>
      <w:pPr>
        <w:pStyle w:val="null3"/>
        <w:jc w:val="left"/>
      </w:pPr>
      <w:r>
        <w:rPr/>
        <w:t>采购包1：</w:t>
      </w:r>
    </w:p>
    <w:p>
      <w:pPr>
        <w:pStyle w:val="null3"/>
        <w:jc w:val="left"/>
      </w:pPr>
      <w:r>
        <w:rPr/>
        <w:t>自合同签订之日起1095日</w:t>
      </w:r>
    </w:p>
    <w:p>
      <w:pPr>
        <w:pStyle w:val="null3"/>
        <w:ind w:firstLine="480"/>
        <w:jc w:val="left"/>
        <w:outlineLvl w:val="3"/>
      </w:pPr>
      <w:r>
        <w:rPr>
          <w:b/>
          <w:sz w:val="24"/>
        </w:rPr>
        <w:t>3.3.2服务地点</w:t>
      </w:r>
    </w:p>
    <w:p>
      <w:pPr>
        <w:pStyle w:val="null3"/>
        <w:jc w:val="left"/>
      </w:pPr>
    </w:p>
    <w:p>
      <w:pPr>
        <w:pStyle w:val="null3"/>
        <w:jc w:val="left"/>
      </w:pPr>
    </w:p>
    <w:p>
      <w:pPr>
        <w:pStyle w:val="null3"/>
        <w:jc w:val="left"/>
      </w:pPr>
    </w:p>
    <w:p>
      <w:pPr>
        <w:pStyle w:val="null3"/>
        <w:jc w:val="left"/>
      </w:pPr>
      <w:r>
        <w:rPr/>
        <w:t>采购包1：</w:t>
      </w:r>
    </w:p>
    <w:p>
      <w:pPr>
        <w:pStyle w:val="null3"/>
        <w:jc w:val="left"/>
      </w:pPr>
      <w:r>
        <w:rPr/>
        <w:t>自贡市自然资源和规划局</w:t>
      </w:r>
    </w:p>
    <w:p>
      <w:pPr>
        <w:pStyle w:val="null3"/>
        <w:ind w:firstLine="480"/>
        <w:jc w:val="left"/>
        <w:outlineLvl w:val="3"/>
      </w:pPr>
      <w:r>
        <w:rPr>
          <w:b/>
          <w:sz w:val="24"/>
        </w:rPr>
        <w:t>3.3.3考核（验收）标准和方法</w:t>
      </w:r>
    </w:p>
    <w:p>
      <w:pPr>
        <w:pStyle w:val="null3"/>
        <w:jc w:val="left"/>
      </w:pPr>
    </w:p>
    <w:p>
      <w:pPr>
        <w:pStyle w:val="null3"/>
        <w:jc w:val="left"/>
      </w:pPr>
    </w:p>
    <w:p>
      <w:pPr>
        <w:pStyle w:val="null3"/>
        <w:jc w:val="left"/>
      </w:pPr>
    </w:p>
    <w:p>
      <w:pPr>
        <w:pStyle w:val="null3"/>
        <w:jc w:val="left"/>
      </w:pPr>
      <w:r>
        <w:rPr/>
        <w:t>采购包1：</w:t>
      </w:r>
    </w:p>
    <w:p>
      <w:pPr>
        <w:pStyle w:val="null3"/>
        <w:jc w:val="left"/>
      </w:pPr>
      <w:r>
        <w:rPr/>
        <w:t>严格按照《政府采购需求管理办法》(财库〔2021〕22号)的要求进行验收，按国家有关规定以及采购文件的质量要求和技术指标、成交供应商的响应文件及承诺进行验收；采购人与成交供应商双方如对质量要求和技术指标的约定标准有相互抵触或异议的事项，由采购人在采购文件与响应文件中按质量要求和技术指标比较优胜的原则确定该项的约定标准进行验收。</w:t>
      </w:r>
    </w:p>
    <w:p>
      <w:pPr>
        <w:pStyle w:val="null3"/>
        <w:ind w:firstLine="480"/>
        <w:jc w:val="left"/>
        <w:outlineLvl w:val="3"/>
      </w:pPr>
      <w:r>
        <w:rPr>
          <w:b/>
          <w:sz w:val="24"/>
        </w:rPr>
        <w:t>3.3.4支付方式</w:t>
      </w:r>
    </w:p>
    <w:p>
      <w:pPr>
        <w:pStyle w:val="null3"/>
        <w:jc w:val="left"/>
      </w:pPr>
    </w:p>
    <w:p>
      <w:pPr>
        <w:pStyle w:val="null3"/>
        <w:jc w:val="left"/>
      </w:pPr>
    </w:p>
    <w:p>
      <w:pPr>
        <w:pStyle w:val="null3"/>
        <w:jc w:val="left"/>
      </w:pPr>
    </w:p>
    <w:p>
      <w:pPr>
        <w:pStyle w:val="null3"/>
        <w:jc w:val="left"/>
      </w:pPr>
      <w:r>
        <w:rPr/>
        <w:t>采购包1：</w:t>
      </w:r>
    </w:p>
    <w:p>
      <w:pPr>
        <w:pStyle w:val="null3"/>
        <w:jc w:val="left"/>
      </w:pPr>
      <w:r>
        <w:rPr/>
        <w:t>分期付款</w:t>
      </w:r>
    </w:p>
    <w:p>
      <w:pPr>
        <w:pStyle w:val="null3"/>
        <w:ind w:firstLine="480"/>
        <w:jc w:val="left"/>
        <w:outlineLvl w:val="3"/>
      </w:pPr>
      <w:r>
        <w:rPr>
          <w:b/>
          <w:sz w:val="24"/>
        </w:rPr>
        <w:t>3.3.5支付约定</w:t>
      </w:r>
    </w:p>
    <w:p>
      <w:pPr>
        <w:pStyle w:val="null3"/>
        <w:jc w:val="left"/>
      </w:pPr>
    </w:p>
    <w:p>
      <w:pPr>
        <w:pStyle w:val="null3"/>
        <w:jc w:val="left"/>
      </w:pPr>
    </w:p>
    <w:p>
      <w:pPr>
        <w:pStyle w:val="null3"/>
        <w:jc w:val="left"/>
      </w:pPr>
    </w:p>
    <w:p>
      <w:pPr>
        <w:pStyle w:val="null3"/>
        <w:jc w:val="left"/>
      </w:pPr>
      <w:r>
        <w:rPr/>
        <w:t>采购包1：</w:t>
      </w:r>
      <w:r>
        <w:rPr/>
        <w:t>付款条件说明：</w:t>
      </w:r>
      <w:r>
        <w:rPr/>
        <w:t>签订合同后签订合同后(预付款在每年结算时直接抵扣，预付款如不足14.9万元，按14.9万元作为预付款)，凭供应商提供有效票据支付</w:t>
      </w:r>
      <w:r>
        <w:rPr/>
        <w:t>，达到付款条件起</w:t>
      </w:r>
      <w:r>
        <w:rPr/>
        <w:t>14</w:t>
      </w:r>
      <w:r>
        <w:rPr/>
        <w:t>日，支付合同总金额的</w:t>
      </w:r>
      <w:r>
        <w:rPr/>
        <w:t>30.00</w:t>
      </w:r>
      <w:r>
        <w:rPr/>
        <w:t>%。</w:t>
      </w:r>
    </w:p>
    <w:p>
      <w:pPr>
        <w:pStyle w:val="null3"/>
        <w:jc w:val="left"/>
      </w:pPr>
      <w:r>
        <w:rPr/>
        <w:t>采购包1：</w:t>
      </w:r>
      <w:r>
        <w:rPr/>
        <w:t>付款条件说明：</w:t>
      </w:r>
      <w:r>
        <w:rPr/>
        <w:t>按照每年工作进度实际完成情况和所有成果编制，并经四川省自然资源厅、省国土科学技术研究院审核通过且提交正式成果，供应商交付有效票据后30日内支付</w:t>
      </w:r>
      <w:r>
        <w:rPr/>
        <w:t>，达到付款条件起</w:t>
      </w:r>
      <w:r>
        <w:rPr/>
        <w:t>30</w:t>
      </w:r>
      <w:r>
        <w:rPr/>
        <w:t>日，支付合同总金额的</w:t>
      </w:r>
      <w:r>
        <w:rPr/>
        <w:t>3.00</w:t>
      </w:r>
      <w:r>
        <w:rPr/>
        <w:t>%。</w:t>
      </w:r>
    </w:p>
    <w:p>
      <w:pPr>
        <w:pStyle w:val="null3"/>
        <w:jc w:val="left"/>
      </w:pPr>
      <w:r>
        <w:rPr/>
        <w:t>采购包1：</w:t>
      </w:r>
      <w:r>
        <w:rPr/>
        <w:t>付款条件说明：</w:t>
      </w:r>
      <w:r>
        <w:rPr/>
        <w:t>按照每年工作进度实际完成情况和所有成果编制，并经四川省自然资源厅、省国土科学技术研究院审核通过且提交正式成果，供应商交付有效票据后30日内支付</w:t>
      </w:r>
      <w:r>
        <w:rPr/>
        <w:t>，达到付款条件起</w:t>
      </w:r>
      <w:r>
        <w:rPr/>
        <w:t>30</w:t>
      </w:r>
      <w:r>
        <w:rPr/>
        <w:t>日，支付合同总金额的</w:t>
      </w:r>
      <w:r>
        <w:rPr/>
        <w:t>33.00</w:t>
      </w:r>
      <w:r>
        <w:rPr/>
        <w:t>%。</w:t>
      </w:r>
    </w:p>
    <w:p>
      <w:pPr>
        <w:pStyle w:val="null3"/>
        <w:jc w:val="left"/>
      </w:pPr>
      <w:r>
        <w:rPr/>
        <w:t>采购包1：</w:t>
      </w:r>
      <w:r>
        <w:rPr/>
        <w:t>付款条件说明：</w:t>
      </w:r>
      <w:r>
        <w:rPr/>
        <w:t>按照每年工作进度实际完成情况和所有成果编制，并经四川省自然资源厅、省国土科学技术研究院审核通过且提交正式成果，供应商交付有效票据后30日内支付</w:t>
      </w:r>
      <w:r>
        <w:rPr/>
        <w:t>，达到付款条件起</w:t>
      </w:r>
      <w:r>
        <w:rPr/>
        <w:t>30</w:t>
      </w:r>
      <w:r>
        <w:rPr/>
        <w:t>日，支付合同总金额的</w:t>
      </w:r>
      <w:r>
        <w:rPr/>
        <w:t>34.00</w:t>
      </w:r>
      <w:r>
        <w:rPr/>
        <w:t>%。</w:t>
      </w:r>
    </w:p>
    <w:p>
      <w:pPr>
        <w:pStyle w:val="null3"/>
        <w:ind w:firstLine="480"/>
        <w:jc w:val="left"/>
        <w:outlineLvl w:val="3"/>
      </w:pPr>
      <w:r>
        <w:rPr>
          <w:b/>
          <w:sz w:val="24"/>
        </w:rPr>
        <w:t>3.3.6违约责任及解决争议的方法</w:t>
      </w:r>
    </w:p>
    <w:p>
      <w:pPr>
        <w:pStyle w:val="null3"/>
        <w:jc w:val="left"/>
      </w:pPr>
    </w:p>
    <w:p>
      <w:pPr>
        <w:pStyle w:val="null3"/>
        <w:jc w:val="left"/>
      </w:pPr>
    </w:p>
    <w:p>
      <w:pPr>
        <w:pStyle w:val="null3"/>
        <w:jc w:val="left"/>
      </w:pPr>
    </w:p>
    <w:p>
      <w:pPr>
        <w:pStyle w:val="null3"/>
        <w:jc w:val="left"/>
      </w:pPr>
      <w:r>
        <w:rPr/>
        <w:t>采购包1：</w:t>
      </w:r>
    </w:p>
    <w:p>
      <w:pPr>
        <w:pStyle w:val="null3"/>
        <w:jc w:val="left"/>
      </w:pPr>
      <w:r>
        <w:rPr/>
        <w:t>双方根据本合同原则，友好协商解决；协商无效的，可向自贡仲裁委员会申请仲裁。</w:t>
      </w:r>
    </w:p>
    <w:p>
      <w:pPr>
        <w:pStyle w:val="null3"/>
        <w:ind w:firstLine="480"/>
        <w:jc w:val="left"/>
        <w:outlineLvl w:val="2"/>
      </w:pPr>
      <w:r>
        <w:rPr>
          <w:b/>
          <w:sz w:val="28"/>
        </w:rPr>
        <w:t>3.4其他要求</w:t>
      </w:r>
    </w:p>
    <w:p>
      <w:pPr>
        <w:pStyle w:val="null3"/>
        <w:jc w:val="left"/>
      </w:pPr>
    </w:p>
    <w:p>
      <w:pPr>
        <w:pStyle w:val="null3"/>
        <w:jc w:val="left"/>
      </w:pPr>
    </w:p>
    <w:p>
      <w:pPr>
        <w:pStyle w:val="null3"/>
        <w:jc w:val="left"/>
      </w:pPr>
      <w:r>
        <w:rPr/>
        <w:t>★1、合同签订生效后于2023-2025年每年的12月31日之前，完成项目每年所有约定工作内容。★2、成交人须按采购人的要求提供合法有效的增值税发票及必要的支付凭证资料后，采购人方可进行支付结算；因成交人未及时提供支付凭证资料导致采购人无法按时完成合同款支付的，采购人不承担违约责任。★3、知识产权 3.1、供应商在本项目使用任何产品和服务(包括部分使用)时，不会产生因第三方提出侵犯其专利权、商标权或其它知识产权而引起的法律和经济纠纷，如因专利权、商标权或其它知识产权而引起法律和经济纠纷，由供应商承担所有相关责任。 采购人享有本项目实施过程中产生的知识成果及知识产权，并依据实际情况对采购标的涉及的知识产权的进行处理。 3.2、如采用供应商所不拥有的知识产权，则在投标报价中必须包括合法获取该知识产权的相关费用。 供应商须对上述所有内容单独进行承诺，否则作无效投标处理。</w:t>
      </w:r>
    </w:p>
    <w:p>
      <w:pPr>
        <w:pStyle w:val="null3"/>
        <w:jc w:val="left"/>
      </w:pPr>
    </w:p>
    <w:p>
      <w:pPr>
        <w:pStyle w:val="null3"/>
        <w:ind w:firstLine="480"/>
        <w:jc w:val="left"/>
      </w:pPr>
      <w:r>
        <w:rPr/>
        <w:t xml:space="preserve"> </w:t>
      </w:r>
    </w:p>
    <w:p>
      <w:pPr>
        <w:pStyle w:val="null3"/>
        <w:ind w:firstLine="480"/>
        <w:jc w:val="center"/>
        <w:outlineLvl w:val="1"/>
      </w:pPr>
      <w:r>
        <w:rPr>
          <w:b/>
          <w:sz w:val="36"/>
        </w:rPr>
        <w:t>第四章 磋商过程中可实质性变动的内容</w:t>
      </w:r>
    </w:p>
    <w:p>
      <w:pPr>
        <w:pStyle w:val="null3"/>
        <w:ind w:firstLine="480"/>
        <w:jc w:val="left"/>
      </w:pPr>
      <w:r>
        <w:rPr/>
        <w:t>磋商小组可以根据磋商文件和磋商情况实质性变动第三章“磋商项目技术、服务、商务及其他要求”、第七章“拟签订采购合同文本”，但不得变动磋商文件中的其他内容。实质性变动的内容，须经采购人代表确认。</w:t>
      </w:r>
    </w:p>
    <w:p>
      <w:pPr>
        <w:pStyle w:val="null3"/>
        <w:jc w:val="left"/>
      </w:pPr>
    </w:p>
    <w:p>
      <w:pPr>
        <w:pStyle w:val="null3"/>
        <w:ind w:firstLine="480"/>
        <w:jc w:val="left"/>
      </w:pPr>
      <w:r>
        <w:rPr/>
        <w:t xml:space="preserve"> </w:t>
      </w:r>
    </w:p>
    <w:p>
      <w:pPr>
        <w:pStyle w:val="null3"/>
        <w:ind w:firstLine="480"/>
        <w:jc w:val="center"/>
        <w:outlineLvl w:val="1"/>
      </w:pPr>
      <w:r>
        <w:rPr>
          <w:b/>
          <w:sz w:val="36"/>
        </w:rPr>
        <w:t>第五章 磋商办法</w:t>
      </w:r>
    </w:p>
    <w:p>
      <w:pPr>
        <w:pStyle w:val="null3"/>
        <w:ind w:firstLine="480"/>
        <w:jc w:val="left"/>
        <w:outlineLvl w:val="2"/>
      </w:pPr>
      <w:r>
        <w:rPr>
          <w:b/>
          <w:sz w:val="28"/>
        </w:rPr>
        <w:t>5.1总则</w:t>
      </w:r>
    </w:p>
    <w:p>
      <w:pPr>
        <w:pStyle w:val="null3"/>
        <w:ind w:firstLine="480"/>
        <w:jc w:val="left"/>
      </w:pPr>
      <w:r>
        <w:rPr/>
        <w:t>一、根据《中华人民共和国政府采购法》《中华人民共和国政府采购法实施条例》《政府采购竞争性磋商采购方式管理暂行办法》《四川省政府采购评审工作规程（修订）》等法律规章，结合本采购项目特点制定本次竞争性磋商评审方法。</w:t>
      </w:r>
    </w:p>
    <w:p>
      <w:pPr>
        <w:pStyle w:val="null3"/>
        <w:ind w:firstLine="480"/>
        <w:jc w:val="left"/>
      </w:pPr>
      <w:r>
        <w:rPr/>
        <w:t>二、评审工作由代理机构组织，具体评审事务由依法组建的磋商小组负责。</w:t>
      </w:r>
    </w:p>
    <w:p>
      <w:pPr>
        <w:pStyle w:val="null3"/>
        <w:ind w:firstLine="480"/>
        <w:jc w:val="left"/>
      </w:pPr>
      <w:r>
        <w:rPr/>
        <w:t>三、评审工作应遵循客观、公正、审慎的原则，并以相同的磋商程序和标准对待所有的供应商。</w:t>
      </w:r>
    </w:p>
    <w:p>
      <w:pPr>
        <w:pStyle w:val="null3"/>
        <w:ind w:firstLine="480"/>
        <w:jc w:val="left"/>
      </w:pPr>
      <w:r>
        <w:rPr/>
        <w:t>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jc w:val="left"/>
      </w:pPr>
      <w:r>
        <w:rPr/>
        <w:t>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jc w:val="left"/>
      </w:pPr>
      <w:r>
        <w:rPr/>
        <w:t>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ind w:firstLine="480"/>
        <w:jc w:val="left"/>
        <w:outlineLvl w:val="2"/>
      </w:pPr>
      <w:r>
        <w:rPr>
          <w:b/>
          <w:sz w:val="28"/>
        </w:rPr>
        <w:t>5.2 磋商小组</w:t>
      </w:r>
    </w:p>
    <w:p>
      <w:pPr>
        <w:pStyle w:val="null3"/>
        <w:ind w:firstLine="480"/>
        <w:jc w:val="left"/>
      </w:pPr>
      <w:r>
        <w:rPr/>
        <w:t>一、本项目磋商小组成员人数应为三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left"/>
      </w:pPr>
      <w:r>
        <w:rPr/>
        <w:t>二、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jc w:val="left"/>
      </w:pPr>
      <w:r>
        <w:rPr/>
        <w:t>三、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t>四、磋商小组按照磋商文件规定的磋商程序、评分方法和标准进行评审，并独立履行下列职责：</w:t>
      </w:r>
    </w:p>
    <w:p>
      <w:pPr>
        <w:pStyle w:val="null3"/>
        <w:ind w:firstLine="480"/>
        <w:jc w:val="left"/>
      </w:pPr>
      <w:r>
        <w:rPr/>
        <w:t>（一）熟悉和理解磋商文件；</w:t>
      </w:r>
    </w:p>
    <w:p>
      <w:pPr>
        <w:pStyle w:val="null3"/>
        <w:ind w:firstLine="480"/>
        <w:jc w:val="left"/>
      </w:pPr>
      <w:r>
        <w:rPr/>
        <w:t>（二）审查供应商响应文件等是否满足磋商文件要求，并作出评价；</w:t>
      </w:r>
    </w:p>
    <w:p>
      <w:pPr>
        <w:pStyle w:val="null3"/>
        <w:ind w:firstLine="480"/>
        <w:jc w:val="left"/>
      </w:pPr>
      <w:r>
        <w:rPr/>
        <w:t>（三）根据需要要求采购组织单位对磋商文件作出解释；根据需要要求供应商对响应文件有关事项作出澄清、说明或者更正；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（五）起草资格审查报告、评审报告并进行签署；</w:t>
      </w:r>
    </w:p>
    <w:p>
      <w:pPr>
        <w:pStyle w:val="null3"/>
        <w:ind w:firstLine="480"/>
        <w:jc w:val="left"/>
      </w:pPr>
      <w:r>
        <w:rPr/>
        <w:t>（六）向采购组织单位、财政部门或者其他监督部门报告非法干预评审工作的行为；</w:t>
      </w:r>
    </w:p>
    <w:p>
      <w:pPr>
        <w:pStyle w:val="null3"/>
        <w:ind w:firstLine="480"/>
        <w:jc w:val="left"/>
      </w:pPr>
      <w:r>
        <w:rPr/>
        <w:t>（七）法律、法规和规章规定的其他职责。</w:t>
      </w:r>
    </w:p>
    <w:p>
      <w:pPr>
        <w:pStyle w:val="null3"/>
        <w:ind w:firstLine="480"/>
        <w:jc w:val="left"/>
        <w:outlineLvl w:val="2"/>
      </w:pPr>
      <w:r>
        <w:rPr>
          <w:b/>
          <w:sz w:val="28"/>
        </w:rPr>
        <w:t>5.3评审程序</w:t>
      </w:r>
    </w:p>
    <w:p>
      <w:pPr>
        <w:pStyle w:val="null3"/>
        <w:ind w:firstLine="480"/>
        <w:jc w:val="left"/>
        <w:outlineLvl w:val="3"/>
      </w:pPr>
      <w:r>
        <w:rPr>
          <w:b/>
          <w:sz w:val="24"/>
        </w:rPr>
        <w:t>5.3.1.熟悉和理解磋商文件和停止评审</w:t>
      </w:r>
    </w:p>
    <w:p>
      <w:pPr>
        <w:pStyle w:val="null3"/>
        <w:ind w:firstLine="480"/>
        <w:jc w:val="left"/>
      </w:pPr>
      <w:r>
        <w:rPr/>
        <w:t>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jc w:val="left"/>
      </w:pPr>
      <w:r>
        <w:rPr/>
        <w:t>二、本磋商文件有下列情形之一的，磋商小组应当停止评审：</w:t>
      </w:r>
    </w:p>
    <w:p>
      <w:pPr>
        <w:pStyle w:val="null3"/>
        <w:ind w:firstLine="480"/>
        <w:jc w:val="left"/>
      </w:pPr>
      <w:r>
        <w:rPr/>
        <w:t>（一）磋商文件的规定存在歧义、重大缺陷的；</w:t>
      </w:r>
    </w:p>
    <w:p>
      <w:pPr>
        <w:pStyle w:val="null3"/>
        <w:ind w:firstLine="480"/>
        <w:jc w:val="left"/>
      </w:pPr>
      <w:r>
        <w:rPr/>
        <w:t>（二）磋商文件明显以不合理条件对供应商实行差别待遇或者歧视待遇的；</w:t>
      </w:r>
    </w:p>
    <w:p>
      <w:pPr>
        <w:pStyle w:val="null3"/>
        <w:ind w:firstLine="480"/>
        <w:jc w:val="left"/>
      </w:pPr>
      <w:r>
        <w:rPr/>
        <w:t>（三）采购项目属于国家规定的优先、强制采购范围，但是磋商文件未依法体现优先、强制采购相关规定的；</w:t>
      </w:r>
    </w:p>
    <w:p>
      <w:pPr>
        <w:pStyle w:val="null3"/>
        <w:ind w:firstLine="480"/>
        <w:jc w:val="left"/>
      </w:pPr>
      <w:r>
        <w:rPr/>
        <w:t>（四）采购项目属于政府采购促进中小企业发展的范围，但是磋商文件未依法体现促进中小企业发展相关规定的；</w:t>
      </w:r>
    </w:p>
    <w:p>
      <w:pPr>
        <w:pStyle w:val="null3"/>
        <w:ind w:firstLine="480"/>
        <w:jc w:val="left"/>
      </w:pPr>
      <w:r>
        <w:rPr/>
        <w:t>（五）磋商文件将供应商的资格条件列为评分因素的；</w:t>
      </w:r>
    </w:p>
    <w:p>
      <w:pPr>
        <w:pStyle w:val="null3"/>
        <w:ind w:firstLine="480"/>
        <w:jc w:val="left"/>
      </w:pPr>
      <w:r>
        <w:rPr/>
        <w:t>（六）磋商文件载明的成交原则不合法的；</w:t>
      </w:r>
    </w:p>
    <w:p>
      <w:pPr>
        <w:pStyle w:val="null3"/>
        <w:ind w:firstLine="480"/>
        <w:jc w:val="left"/>
      </w:pPr>
      <w:r>
        <w:rPr/>
        <w:t>（七）磋商文件有违反国家其他有关强制性规定的情形。</w:t>
      </w:r>
    </w:p>
    <w:p>
      <w:pPr>
        <w:pStyle w:val="null3"/>
        <w:ind w:firstLine="480"/>
        <w:jc w:val="left"/>
      </w:pPr>
      <w:r>
        <w:rPr/>
        <w:t>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出现上述应当停止评审情形的，采购组织单位应当通过项目电子化交易系统书面告知参加采购活动的供应商，并说明具体原因，同时在四川政府采购网公告。采购组织单位认为磋商小组不应当停止评审的，可以书面报告采购项目同级财政部门依法处理，并提供相关证明材料。</w:t>
      </w:r>
    </w:p>
    <w:p>
      <w:pPr>
        <w:pStyle w:val="null3"/>
        <w:ind w:firstLine="480"/>
        <w:jc w:val="left"/>
        <w:outlineLvl w:val="3"/>
      </w:pPr>
      <w:r>
        <w:rPr>
          <w:b/>
          <w:sz w:val="24"/>
        </w:rPr>
        <w:t>5.3.2资格审查</w:t>
      </w:r>
    </w:p>
    <w:p>
      <w:pPr>
        <w:pStyle w:val="null3"/>
        <w:jc w:val="left"/>
      </w:pPr>
    </w:p>
    <w:p>
      <w:pPr>
        <w:pStyle w:val="null3"/>
        <w:jc w:val="left"/>
      </w:pPr>
    </w:p>
    <w:p>
      <w:pPr>
        <w:pStyle w:val="null3"/>
        <w:ind w:firstLine="480"/>
        <w:jc w:val="left"/>
      </w:pPr>
      <w:r>
        <w:rPr/>
        <w:t>响应文件提交截止时间结束后，由磋商小组依据法律法规和磋商文件的规定，对响应文件中的资格证明等进行审查，以确定供应商是否具备响应资格，并出具资格审查报告。资格审查标准及要求如下：</w:t>
      </w:r>
    </w:p>
    <w:p>
      <w:pPr>
        <w:pStyle w:val="null3"/>
        <w:ind w:firstLine="480"/>
        <w:jc w:val="left"/>
        <w:outlineLvl w:val="3"/>
      </w:pPr>
      <w:r>
        <w:rPr>
          <w:b/>
          <w:sz w:val="24"/>
        </w:rPr>
        <w:t>5.3.2.1一般资格审查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1、供应商需在项目电子化交易系统中按要求填写《投标（响应）函》完成承诺并进行电子签章。2、 ①供应商若为企业法人：提供“统一社会信用代码营业执照”；②若为事业法人：提供“统一社会信用代码法人登记证书”；③若为其他组织：提供“对应主管部门颁发的准许执业证明文件或营业执照”；④供应商若为自然人：提供“身份证明材料”。</w:t>
            </w:r>
          </w:p>
        </w:tc>
        <w:tc>
          <w:tcPr>
            <w:tcW w:type="dxa" w:w="1661"/>
          </w:tcPr>
          <w:p>
            <w:pPr>
              <w:pStyle w:val="null3"/>
              <w:jc w:val="left"/>
            </w:pPr>
            <w:r>
              <w:rPr/>
              <w:t>供应商应提交的相关资格证明材料 投标（响应）函</w:t>
            </w:r>
          </w:p>
        </w:tc>
      </w:tr>
      <w:tr>
        <w:tc>
          <w:tcPr>
            <w:tcW w:type="dxa" w:w="831"/>
          </w:tcPr>
          <w:p>
            <w:pPr>
              <w:pStyle w:val="null3"/>
              <w:jc w:val="left"/>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3</w:t>
            </w:r>
          </w:p>
        </w:tc>
        <w:tc>
          <w:tcPr>
            <w:tcW w:type="dxa" w:w="2492"/>
          </w:tcPr>
          <w:p>
            <w:pPr>
              <w:pStyle w:val="null3"/>
              <w:jc w:val="left"/>
            </w:pPr>
            <w:r>
              <w:rPr/>
              <w:t>具有健全的财务会计制度。</w:t>
            </w:r>
          </w:p>
        </w:tc>
        <w:tc>
          <w:tcPr>
            <w:tcW w:type="dxa" w:w="3322"/>
          </w:tcPr>
          <w:p>
            <w:pPr>
              <w:pStyle w:val="null3"/>
              <w:jc w:val="left"/>
            </w:pPr>
            <w:r>
              <w:rPr/>
              <w:t>1、供应商需在项目电子化交易系统中按要求上传相应证明文件并进行电子签章。 （提供承诺函原件（格式自拟）或以下任意一种：①可提供2020-2022年度（任意一年度）供应商经审计的完整有效的财务报告复印件；②也可提供2020-2022年度（任意一年度）供应商内部的财务报表复印件（至少应包含资产负债表、现金流量表、利润表）；③也可提供距文件递交截止日一年内银行出具的资信证明（复印件）；④供应商注册时间至文件递交截止日不足一年的，也可提供在市场监督管理部门备案的公司章程（复印件）；⑤非营利性单位或者社会团体或者其他机关事业单位以符合财务会计制度为准。⑥供应商为自然人的提供承诺函（格式自拟）。））</w:t>
            </w:r>
          </w:p>
        </w:tc>
        <w:tc>
          <w:tcPr>
            <w:tcW w:type="dxa" w:w="1661"/>
          </w:tcPr>
          <w:p>
            <w:pPr>
              <w:pStyle w:val="null3"/>
              <w:jc w:val="left"/>
            </w:pPr>
            <w:r>
              <w:rPr/>
              <w:t>供应商应提交的相关资格证明材料 投标（响应）函</w:t>
            </w:r>
          </w:p>
        </w:tc>
      </w:tr>
      <w:tr>
        <w:tc>
          <w:tcPr>
            <w:tcW w:type="dxa" w:w="831"/>
          </w:tcPr>
          <w:p>
            <w:pPr>
              <w:pStyle w:val="null3"/>
              <w:jc w:val="left"/>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r>
        <w:tc>
          <w:tcPr>
            <w:tcW w:type="dxa" w:w="831"/>
          </w:tcPr>
          <w:p>
            <w:pPr>
              <w:pStyle w:val="null3"/>
              <w:jc w:val="left"/>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661"/>
          </w:tcPr>
          <w:p>
            <w:pPr>
              <w:pStyle w:val="null3"/>
              <w:jc w:val="left"/>
            </w:pPr>
            <w:r>
              <w:rPr/>
              <w:t>投标（响应）函</w:t>
            </w:r>
          </w:p>
        </w:tc>
      </w:tr>
    </w:tbl>
    <w:p>
      <w:pPr>
        <w:pStyle w:val="null3"/>
        <w:ind w:firstLine="480"/>
        <w:jc w:val="left"/>
        <w:outlineLvl w:val="3"/>
      </w:pPr>
      <w:r>
        <w:rPr>
          <w:b/>
          <w:sz w:val="24"/>
        </w:rPr>
        <w:t>5.3.2.2特殊资格审查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06"/>
            <w:gridSpan w:val="4"/>
          </w:tcPr>
          <w:p>
            <w:pPr>
              <w:pStyle w:val="null3"/>
              <w:jc w:val="left"/>
            </w:pPr>
            <w:r>
              <w:rPr/>
              <w:t>无</w:t>
            </w:r>
          </w:p>
        </w:tc>
      </w:tr>
    </w:tbl>
    <w:p>
      <w:pPr>
        <w:pStyle w:val="null3"/>
        <w:ind w:firstLine="480"/>
        <w:jc w:val="left"/>
        <w:outlineLvl w:val="3"/>
      </w:pPr>
      <w:r>
        <w:rPr>
          <w:b/>
          <w:sz w:val="24"/>
        </w:rPr>
        <w:t>5.3.2.3落实政府采购政策资格审查</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资格审查要求概况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本采购包属于专门面向中小企业采购。</w:t>
            </w:r>
          </w:p>
        </w:tc>
        <w:tc>
          <w:tcPr>
            <w:tcW w:type="dxa" w:w="3322"/>
          </w:tcPr>
          <w:p>
            <w:pPr>
              <w:pStyle w:val="null3"/>
              <w:jc w:val="left"/>
            </w:pPr>
            <w:r>
              <w:rPr/>
              <w:t>供应商结合自身实际，按照采购文件要求和关联格式要求，提供《中小企业声明函》或者《残疾人福利性单位声明函》、《监狱企业证明文件》进行响应。</w:t>
            </w:r>
          </w:p>
        </w:tc>
        <w:tc>
          <w:tcPr>
            <w:tcW w:type="dxa" w:w="1661"/>
          </w:tcPr>
          <w:p>
            <w:pPr>
              <w:pStyle w:val="null3"/>
              <w:jc w:val="left"/>
            </w:pPr>
            <w:r>
              <w:rPr/>
              <w:t>中小企业声明函 残疾人福利性单位声明函 监狱企业的证明文件</w:t>
            </w:r>
          </w:p>
        </w:tc>
      </w:tr>
    </w:tbl>
    <w:p>
      <w:pPr>
        <w:pStyle w:val="null3"/>
        <w:ind w:firstLine="480"/>
        <w:jc w:val="left"/>
        <w:outlineLvl w:val="3"/>
      </w:pPr>
      <w:r>
        <w:rPr>
          <w:b/>
          <w:sz w:val="24"/>
        </w:rPr>
        <w:t>5.3.3磋商</w:t>
      </w:r>
    </w:p>
    <w:p>
      <w:pPr>
        <w:pStyle w:val="null3"/>
        <w:ind w:firstLine="480"/>
        <w:jc w:val="left"/>
      </w:pPr>
      <w:r>
        <w:rPr/>
        <w:t>一、         磋商小组按照磋商文件的规定与邀请参加磋商的供应商分别进行磋商，磋商顺序由磋商小组确定。</w:t>
      </w:r>
    </w:p>
    <w:p>
      <w:pPr>
        <w:pStyle w:val="null3"/>
        <w:ind w:firstLine="480"/>
        <w:jc w:val="left"/>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jc w:val="left"/>
      </w:pPr>
      <w:r>
        <w:rPr/>
        <w:t>三、磋商小组可以根据磋商文件和磋商情况实质性变动第三章“磋商项目技术、服务、商务及其他要求”、第六章“拟签订的合同文本”，但不得变动磋商文件中的其他内容。实质性变动的内容，须经采购人代表确认。</w:t>
      </w:r>
    </w:p>
    <w:p>
      <w:pPr>
        <w:pStyle w:val="null3"/>
        <w:ind w:firstLine="480"/>
        <w:jc w:val="left"/>
      </w:pPr>
      <w:r>
        <w:rPr/>
        <w:t>四、         对磋商文件作出的实质性变动是磋商文件的有效组成部分，磋商小组应通过项目电子化交易系统，将变动情况通知本轮次所有参加磋商的供应商。磋商过程中，磋商小组可以根据磋商情况调整磋商轮次。</w:t>
      </w:r>
    </w:p>
    <w:p>
      <w:pPr>
        <w:pStyle w:val="null3"/>
        <w:ind w:firstLine="480"/>
        <w:jc w:val="left"/>
      </w:pPr>
      <w:r>
        <w:rPr/>
        <w:t>五、         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t>六、经最终磋商后，响应文件仍有下列情况之一的，应按照无效响应处理：</w:t>
      </w:r>
    </w:p>
    <w:p>
      <w:pPr>
        <w:pStyle w:val="null3"/>
        <w:ind w:firstLine="480"/>
        <w:jc w:val="left"/>
      </w:pPr>
      <w:r>
        <w:rPr/>
        <w:t>（一）响应文件仍不能实质响应磋商文件可实质性变动的实质性要求的；</w:t>
      </w:r>
    </w:p>
    <w:p>
      <w:pPr>
        <w:pStyle w:val="null3"/>
        <w:ind w:firstLine="480"/>
        <w:jc w:val="left"/>
      </w:pPr>
      <w:r>
        <w:rPr/>
        <w:t>（二）响应文件中仍有磋商文件规定的其他无效响应情形的。</w:t>
      </w:r>
    </w:p>
    <w:p>
      <w:pPr>
        <w:pStyle w:val="null3"/>
        <w:ind w:firstLine="480"/>
        <w:jc w:val="left"/>
      </w:pPr>
      <w:r>
        <w:rPr/>
        <w:t>七、         磋商过程中，磋商的任何一方不得透露与磋商有关的其他供应商的技术资料、价格和其他信息。</w:t>
      </w:r>
    </w:p>
    <w:p>
      <w:pPr>
        <w:pStyle w:val="null3"/>
        <w:ind w:firstLine="480"/>
        <w:jc w:val="left"/>
      </w:pPr>
      <w:r>
        <w:rPr/>
        <w:t>八、         磋商过程中，磋商小组发现或者知晓供应商存在违法行为的，应当磋商报告中予以记录，并向本级财政部门报告，依法应将该供应商响应文件作无效处理的，应当作无效处理。</w:t>
      </w:r>
    </w:p>
    <w:p>
      <w:pPr>
        <w:pStyle w:val="null3"/>
        <w:ind w:firstLine="480"/>
        <w:jc w:val="left"/>
        <w:outlineLvl w:val="3"/>
      </w:pPr>
      <w:r>
        <w:rPr>
          <w:b/>
          <w:sz w:val="24"/>
        </w:rPr>
        <w:t>5.3.4符合性审查</w:t>
      </w:r>
    </w:p>
    <w:p>
      <w:pPr>
        <w:pStyle w:val="null3"/>
        <w:ind w:firstLine="480"/>
        <w:jc w:val="left"/>
      </w:pPr>
      <w:r>
        <w:rPr/>
        <w:t>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jc w:val="left"/>
      </w:pPr>
      <w:r>
        <w:rPr/>
        <w:t>在符合性审查过程中，如果出现磋商小组成员意见不一致的情况，按照少数服从多数的原则确定，但不得违背政府采购基本原则和磋商文件规定。</w:t>
      </w:r>
    </w:p>
    <w:p>
      <w:pPr>
        <w:pStyle w:val="null3"/>
        <w:ind w:firstLine="480"/>
        <w:jc w:val="left"/>
      </w:pPr>
      <w:r>
        <w:rPr/>
        <w:t>符合性审查标准见下表：</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t>序号</w:t>
            </w:r>
          </w:p>
        </w:tc>
        <w:tc>
          <w:tcPr>
            <w:tcW w:type="dxa" w:w="2492"/>
          </w:tcPr>
          <w:p>
            <w:pPr>
              <w:pStyle w:val="null3"/>
              <w:jc w:val="left"/>
            </w:pPr>
            <w:r>
              <w:rPr/>
              <w:t>符合审查要求概况</w:t>
            </w:r>
          </w:p>
        </w:tc>
        <w:tc>
          <w:tcPr>
            <w:tcW w:type="dxa" w:w="3322"/>
          </w:tcPr>
          <w:p>
            <w:pPr>
              <w:pStyle w:val="null3"/>
              <w:jc w:val="left"/>
            </w:pPr>
            <w:r>
              <w:rPr/>
              <w:t>评审点具体描述</w:t>
            </w:r>
          </w:p>
        </w:tc>
        <w:tc>
          <w:tcPr>
            <w:tcW w:type="dxa" w:w="1661"/>
          </w:tcPr>
          <w:p>
            <w:pPr>
              <w:pStyle w:val="null3"/>
              <w:jc w:val="left"/>
            </w:pPr>
            <w:r>
              <w:rPr/>
              <w:t>关联格式</w:t>
            </w:r>
          </w:p>
        </w:tc>
      </w:tr>
      <w:tr>
        <w:tc>
          <w:tcPr>
            <w:tcW w:type="dxa" w:w="831"/>
          </w:tcPr>
          <w:p>
            <w:pPr>
              <w:pStyle w:val="null3"/>
              <w:jc w:val="left"/>
            </w:pPr>
            <w:r>
              <w:rPr/>
              <w:t>1</w:t>
            </w:r>
          </w:p>
        </w:tc>
        <w:tc>
          <w:tcPr>
            <w:tcW w:type="dxa" w:w="2492"/>
          </w:tcPr>
          <w:p>
            <w:pPr>
              <w:pStyle w:val="null3"/>
              <w:jc w:val="left"/>
            </w:pPr>
            <w:r>
              <w:rPr/>
              <w:t>不正当竞争预防措施（实质性要求）</w:t>
            </w:r>
          </w:p>
        </w:tc>
        <w:tc>
          <w:tcPr>
            <w:tcW w:type="dxa" w:w="3322"/>
          </w:tcPr>
          <w:p>
            <w:pPr>
              <w:pStyle w:val="null3"/>
              <w:jc w:val="left"/>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jc w:val="left"/>
            </w:pPr>
            <w:r>
              <w:rPr/>
              <w:t>分项报价表 报价表</w:t>
            </w:r>
          </w:p>
        </w:tc>
      </w:tr>
      <w:tr>
        <w:tc>
          <w:tcPr>
            <w:tcW w:type="dxa" w:w="831"/>
          </w:tcPr>
          <w:p>
            <w:pPr>
              <w:pStyle w:val="null3"/>
              <w:jc w:val="left"/>
            </w:pPr>
            <w:r>
              <w:rPr/>
              <w:t>2</w:t>
            </w:r>
          </w:p>
        </w:tc>
        <w:tc>
          <w:tcPr>
            <w:tcW w:type="dxa" w:w="2492"/>
          </w:tcPr>
          <w:p>
            <w:pPr>
              <w:pStyle w:val="null3"/>
              <w:jc w:val="left"/>
            </w:pPr>
            <w:r>
              <w:rPr/>
              <w:t>符合竞争性磋商文件的实质性要求</w:t>
            </w:r>
          </w:p>
        </w:tc>
        <w:tc>
          <w:tcPr>
            <w:tcW w:type="dxa" w:w="3322"/>
          </w:tcPr>
          <w:p>
            <w:pPr>
              <w:pStyle w:val="null3"/>
              <w:jc w:val="left"/>
            </w:pPr>
            <w:r>
              <w:rPr/>
              <w:t>供应商按照要求提供响应文件，并满足本竞争性磋商文件的实质性要求，并按要求提供相关的证明材料。</w:t>
            </w:r>
          </w:p>
        </w:tc>
        <w:tc>
          <w:tcPr>
            <w:tcW w:type="dxa" w:w="1661"/>
          </w:tcPr>
          <w:p>
            <w:pPr>
              <w:pStyle w:val="null3"/>
              <w:jc w:val="left"/>
            </w:pPr>
            <w:r>
              <w:rPr/>
              <w:t>响应文件封面 其他相关证明材料 商务应答表</w:t>
            </w:r>
          </w:p>
        </w:tc>
      </w:tr>
    </w:tbl>
    <w:p>
      <w:pPr>
        <w:pStyle w:val="null3"/>
        <w:ind w:firstLine="480"/>
        <w:jc w:val="left"/>
        <w:outlineLvl w:val="3"/>
      </w:pPr>
      <w:r>
        <w:rPr>
          <w:b/>
          <w:sz w:val="24"/>
        </w:rPr>
        <w:t>5.3.5最后报价</w:t>
      </w:r>
    </w:p>
    <w:p>
      <w:pPr>
        <w:pStyle w:val="null3"/>
        <w:ind w:firstLine="480"/>
        <w:jc w:val="left"/>
      </w:pPr>
      <w:r>
        <w:rPr/>
        <w:t>一、方案评审</w:t>
      </w:r>
    </w:p>
    <w:p>
      <w:pPr>
        <w:pStyle w:val="null3"/>
        <w:jc w:val="left"/>
      </w:pPr>
    </w:p>
    <w:p>
      <w:pPr>
        <w:pStyle w:val="null3"/>
        <w:jc w:val="left"/>
      </w:pPr>
    </w:p>
    <w:p>
      <w:pPr>
        <w:pStyle w:val="null3"/>
        <w:jc w:val="left"/>
      </w:pPr>
      <w:r>
        <w:rPr/>
        <w:t>采购包1：磋商文件能够详细列明采购标的的技术、服务要求，磋商结束后，磋商小组可以根据磋商情况要求所有实质性响应的供应商在规定时间内提交最后报价，提交最后报价的供应商不得少于3家。</w:t>
      </w:r>
    </w:p>
    <w:p>
      <w:pPr>
        <w:pStyle w:val="null3"/>
        <w:ind w:firstLine="480"/>
        <w:jc w:val="left"/>
      </w:pPr>
      <w:r>
        <w:rPr/>
        <w:t>二、磋商小组开启报价后，供应商应随时关注项目电子化交易系统信息提醒，登录项目电子化交易系统，通过“等候大厅”进行报价并签章后提交。</w:t>
      </w:r>
    </w:p>
    <w:p>
      <w:pPr>
        <w:pStyle w:val="null3"/>
        <w:ind w:firstLine="480"/>
        <w:jc w:val="left"/>
      </w:pPr>
      <w:r>
        <w:rPr/>
        <w:t>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jc w:val="left"/>
      </w:pPr>
      <w:r>
        <w:rPr/>
        <w:t>四.供应商未在响应文件提交截止时间内提交报价或未按要求进行报价的，视为无效响应，由供应商自行承担不利后果。</w:t>
      </w:r>
    </w:p>
    <w:p>
      <w:pPr>
        <w:pStyle w:val="null3"/>
        <w:ind w:firstLine="480"/>
        <w:jc w:val="left"/>
      </w:pPr>
      <w:r>
        <w:rPr/>
        <w:t>五、供应商未按磋商小组要求在规定时间内提交最后报价的，视为其退出磋商。</w:t>
      </w:r>
    </w:p>
    <w:p>
      <w:pPr>
        <w:pStyle w:val="null3"/>
        <w:ind w:firstLine="480"/>
        <w:jc w:val="left"/>
      </w:pPr>
      <w:r>
        <w:rPr/>
        <w:t>六、最后报价一旦提交后，供应商不得以任何理由撤回。</w:t>
      </w:r>
    </w:p>
    <w:p>
      <w:pPr>
        <w:pStyle w:val="null3"/>
        <w:ind w:firstLine="480"/>
        <w:jc w:val="left"/>
      </w:pPr>
      <w:r>
        <w:rPr/>
        <w:t>七、最后报价为有效报价应符合下列条件：</w:t>
      </w:r>
    </w:p>
    <w:p>
      <w:pPr>
        <w:pStyle w:val="null3"/>
        <w:ind w:firstLine="480"/>
        <w:jc w:val="left"/>
      </w:pPr>
      <w:r>
        <w:rPr/>
        <w:t>（一）供应商所提供的最后报价是在规定的时间内提交。</w:t>
      </w:r>
    </w:p>
    <w:p>
      <w:pPr>
        <w:pStyle w:val="null3"/>
        <w:ind w:firstLine="480"/>
        <w:jc w:val="left"/>
      </w:pPr>
      <w:r>
        <w:rPr/>
        <w:t>（二）供应商的最后报价应加盖供应商（法定名称）电子印章。</w:t>
      </w:r>
    </w:p>
    <w:p>
      <w:pPr>
        <w:pStyle w:val="null3"/>
        <w:ind w:firstLine="480"/>
        <w:jc w:val="left"/>
      </w:pPr>
      <w:r>
        <w:rPr/>
        <w:t>（三）供应商的最后报价应符合磋商文件的要求。</w:t>
      </w:r>
    </w:p>
    <w:p>
      <w:pPr>
        <w:pStyle w:val="null3"/>
        <w:ind w:firstLine="480"/>
        <w:jc w:val="left"/>
      </w:pPr>
      <w:r>
        <w:rPr/>
        <w:t>（四）最后报价唯一，且不高于最高限价。</w:t>
      </w:r>
    </w:p>
    <w:p>
      <w:pPr>
        <w:pStyle w:val="null3"/>
        <w:ind w:firstLine="480"/>
        <w:jc w:val="left"/>
      </w:pPr>
      <w:r>
        <w:rPr/>
        <w:t>八、最后报价出现下列情况的，不需要供应商澄清，按以下原则处理：</w:t>
      </w:r>
    </w:p>
    <w:p>
      <w:pPr>
        <w:pStyle w:val="null3"/>
        <w:ind w:firstLine="480"/>
        <w:jc w:val="left"/>
      </w:pPr>
      <w:r>
        <w:rPr/>
        <w:t>（一）报价中的大写金额和小写金额不一致的，以大写金额为准，但大写金额出现文字错误，导致金额无法判断的除外；</w:t>
      </w:r>
    </w:p>
    <w:p>
      <w:pPr>
        <w:pStyle w:val="null3"/>
        <w:ind w:firstLine="480"/>
        <w:jc w:val="left"/>
      </w:pPr>
      <w:r>
        <w:rPr/>
        <w:t>（二）单价金额小数点或者百分比有明显错位的，应以总价为准，并修改单价；</w:t>
      </w:r>
    </w:p>
    <w:p>
      <w:pPr>
        <w:pStyle w:val="null3"/>
        <w:ind w:firstLine="480"/>
        <w:jc w:val="left"/>
      </w:pPr>
      <w:r>
        <w:rPr/>
        <w:t>（三）总价金额与按单价汇总金额不一致的，以单价汇总金额计算结果为准；</w:t>
      </w:r>
    </w:p>
    <w:p>
      <w:pPr>
        <w:pStyle w:val="null3"/>
        <w:ind w:firstLine="480"/>
        <w:jc w:val="left"/>
      </w:pPr>
      <w:r>
        <w:rPr/>
        <w:t>同时出现两种以上不一致的，按照前款规定的顺序修正。修正后的最后报价经加盖供应商（法定名称）电子印章后产生约束力，供应商不确认的，其最后报价无效。</w:t>
      </w:r>
    </w:p>
    <w:p>
      <w:pPr>
        <w:pStyle w:val="null3"/>
        <w:ind w:firstLine="480"/>
        <w:jc w:val="left"/>
        <w:outlineLvl w:val="3"/>
      </w:pPr>
      <w:r>
        <w:rPr>
          <w:b/>
          <w:sz w:val="24"/>
        </w:rPr>
        <w:t>5.3.6解释、澄清有关问题</w:t>
      </w:r>
    </w:p>
    <w:p>
      <w:pPr>
        <w:pStyle w:val="null3"/>
        <w:ind w:firstLine="480"/>
        <w:jc w:val="left"/>
      </w:pPr>
      <w:r>
        <w:rPr/>
        <w:t>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jc w:val="left"/>
      </w:pPr>
      <w:r>
        <w:rPr/>
        <w:t>二、对响应文件中含义不明确、同类问题表述不一致或者有明显文字和计算错误的内容，磋商小组应当要求供应商作出必要的澄清、说明或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jc w:val="left"/>
      </w:pPr>
      <w:r>
        <w:rPr/>
        <w:t>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jc w:val="left"/>
      </w:pPr>
      <w:r>
        <w:rPr/>
        <w:t>（一）供应商响应文件中不响应磋商文件规定的技术参数指标和商务应答；</w:t>
      </w:r>
    </w:p>
    <w:p>
      <w:pPr>
        <w:pStyle w:val="null3"/>
        <w:ind w:firstLine="480"/>
        <w:jc w:val="left"/>
      </w:pPr>
      <w:r>
        <w:rPr/>
        <w:t>（二）供应商响应文件中未提供的证明其是否符合磋商文件资格、符合性规定要求的相关材料。</w:t>
      </w:r>
    </w:p>
    <w:p>
      <w:pPr>
        <w:pStyle w:val="null3"/>
        <w:ind w:firstLine="480"/>
        <w:jc w:val="left"/>
      </w:pPr>
      <w:r>
        <w:rPr/>
        <w:t>（三）供应商响应文件中的材料因印刷、影印等不清晰而难以辨认的。</w:t>
      </w:r>
    </w:p>
    <w:p>
      <w:pPr>
        <w:pStyle w:val="null3"/>
        <w:ind w:firstLine="480"/>
        <w:jc w:val="left"/>
      </w:pPr>
      <w:r>
        <w:rPr/>
        <w:t>四、响应文件报价出现前后不一致的情形，按照本章前述规定予以处理，不需要供应商澄清。</w:t>
      </w:r>
    </w:p>
    <w:p>
      <w:pPr>
        <w:pStyle w:val="null3"/>
        <w:ind w:firstLine="480"/>
        <w:jc w:val="left"/>
      </w:pPr>
      <w:r>
        <w:rPr/>
        <w:t>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jc w:val="left"/>
      </w:pPr>
      <w:r>
        <w:rPr/>
        <w:t>六、磋商小组应当积极履行澄清、说明或者更正的职责，不得滥用权力。</w:t>
      </w:r>
    </w:p>
    <w:p>
      <w:pPr>
        <w:pStyle w:val="null3"/>
        <w:ind w:firstLine="480"/>
        <w:jc w:val="left"/>
        <w:outlineLvl w:val="3"/>
      </w:pPr>
      <w:r>
        <w:rPr>
          <w:b/>
          <w:sz w:val="24"/>
        </w:rPr>
        <w:t>5.3.7比较与评价</w:t>
      </w:r>
    </w:p>
    <w:p>
      <w:pPr>
        <w:pStyle w:val="null3"/>
        <w:ind w:firstLine="480"/>
        <w:jc w:val="left"/>
      </w:pPr>
      <w:r>
        <w:rPr/>
        <w:t>磋商小组应当按照磋商文件规定的评标细则及标准，对符合性检查合格的响应文件进行商务和技术评估，综合比较和评价。</w:t>
      </w:r>
    </w:p>
    <w:p>
      <w:pPr>
        <w:pStyle w:val="null3"/>
        <w:ind w:firstLine="480"/>
        <w:jc w:val="left"/>
        <w:outlineLvl w:val="3"/>
      </w:pPr>
      <w:r>
        <w:rPr>
          <w:b/>
          <w:sz w:val="24"/>
        </w:rPr>
        <w:t>5.3.8复核</w:t>
      </w:r>
    </w:p>
    <w:p>
      <w:pPr>
        <w:pStyle w:val="null3"/>
        <w:ind w:firstLine="480"/>
        <w:jc w:val="left"/>
      </w:pPr>
      <w:r>
        <w:rPr/>
        <w:t>评审结束后，磋商小组应当进行复核，特别要对拟推荐为成交候选供应商的、报价最低的、响应文件被认定为无效的进行重点复核。</w:t>
      </w:r>
    </w:p>
    <w:p>
      <w:pPr>
        <w:pStyle w:val="null3"/>
        <w:ind w:firstLine="480"/>
        <w:jc w:val="left"/>
      </w:pPr>
      <w:r>
        <w:rPr/>
        <w:t>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jc w:val="left"/>
      </w:pPr>
      <w:r>
        <w:rPr/>
        <w:t>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ind w:firstLine="480"/>
        <w:jc w:val="left"/>
        <w:outlineLvl w:val="3"/>
      </w:pPr>
      <w:r>
        <w:rPr>
          <w:b/>
          <w:sz w:val="24"/>
        </w:rPr>
        <w:t>5.3.9推荐成交候选供应商</w:t>
      </w:r>
    </w:p>
    <w:p>
      <w:pPr>
        <w:pStyle w:val="null3"/>
        <w:jc w:val="left"/>
      </w:pPr>
    </w:p>
    <w:p>
      <w:pPr>
        <w:pStyle w:val="null3"/>
        <w:jc w:val="left"/>
      </w:pPr>
    </w:p>
    <w:p>
      <w:pPr>
        <w:pStyle w:val="null3"/>
        <w:jc w:val="left"/>
      </w:pPr>
      <w:r>
        <w:rPr/>
        <w:t>采购包1：</w:t>
      </w:r>
      <w:r>
        <w:rPr/>
        <w:t>候选供应商数量3名。</w:t>
      </w:r>
    </w:p>
    <w:p>
      <w:pPr>
        <w:pStyle w:val="null3"/>
        <w:ind w:firstLine="480"/>
        <w:jc w:val="left"/>
      </w:pPr>
      <w:r>
        <w:rPr/>
        <w:t>“本项目”磋商小组应当根据综合评分情况，按照评审得分由高到低顺序推荐成交候选供应商，并编写磋商报告（若本项目属于政府购买服务项目（含政府和社会资本合作项目）/市场竞争不充分的科研项目/需要扶持的科技成果转化项目，当提交最后报价的供应商为2家时，可以推荐2家成交候选供应商）。</w:t>
      </w:r>
    </w:p>
    <w:p>
      <w:pPr>
        <w:pStyle w:val="null3"/>
        <w:ind w:firstLine="480"/>
        <w:jc w:val="left"/>
      </w:pPr>
      <w:r>
        <w:rPr/>
        <w:t>评审得分相同的，按照最后报价由低到高的顺序推荐。评审得分且最后报价相同的，按照技术指标优劣（本项目的技术指标为：</w:t>
      </w:r>
      <w:r>
        <w:rPr/>
        <w:t>项目的组织实施方案</w:t>
      </w:r>
      <w:r>
        <w:rPr/>
        <w:t>，按照技术指标得分确定优劣）顺序推荐。评审得分且最后报价且技术指标得分均相同的，按供应商根据第六章强制、优先采购产品承诺函格式要求承诺提供的经认证的优先采购节能、环境标志产品数量由多到少顺序推荐。评审得分、最后报价、技术指标得分和承诺提供的经认证优先采购节能、环境标志产品数量均相同的，成交候选供应商并列。</w:t>
      </w:r>
    </w:p>
    <w:p>
      <w:pPr>
        <w:pStyle w:val="null3"/>
        <w:ind w:firstLine="480"/>
        <w:jc w:val="left"/>
        <w:outlineLvl w:val="3"/>
      </w:pPr>
      <w:r>
        <w:rPr>
          <w:b/>
          <w:sz w:val="24"/>
        </w:rPr>
        <w:t>5.3.10编写磋商报告</w:t>
      </w:r>
    </w:p>
    <w:p>
      <w:pPr>
        <w:pStyle w:val="null3"/>
        <w:ind w:firstLine="480"/>
        <w:jc w:val="left"/>
      </w:pPr>
      <w:r>
        <w:rPr/>
        <w:t>磋商小组推荐成交候选供应商后，应向代理机构出具磋商报告。磋商报告应当包括以下主要内容：</w:t>
      </w:r>
    </w:p>
    <w:p>
      <w:pPr>
        <w:pStyle w:val="null3"/>
        <w:ind w:firstLine="480"/>
        <w:jc w:val="left"/>
      </w:pPr>
      <w:r>
        <w:rPr/>
        <w:t>（一）邀请供应商参加采购活动的具体方式和相关情况；</w:t>
      </w:r>
    </w:p>
    <w:p>
      <w:pPr>
        <w:pStyle w:val="null3"/>
        <w:ind w:firstLine="480"/>
        <w:jc w:val="left"/>
      </w:pPr>
      <w:r>
        <w:rPr/>
        <w:t>（二）响应文件开启日期和地点；</w:t>
      </w:r>
    </w:p>
    <w:p>
      <w:pPr>
        <w:pStyle w:val="null3"/>
        <w:ind w:firstLine="480"/>
        <w:jc w:val="left"/>
      </w:pPr>
      <w:r>
        <w:rPr/>
        <w:t>（三）获取磋商文件的供应商名单和磋商小组成员名单；</w:t>
      </w:r>
    </w:p>
    <w:p>
      <w:pPr>
        <w:pStyle w:val="null3"/>
        <w:ind w:firstLine="480"/>
        <w:jc w:val="left"/>
      </w:pPr>
      <w:r>
        <w:rPr/>
        <w:t>（四）评审情况记录和说明，包括对供应商响应文件审查情况、磋商情况、报价情况等；</w:t>
      </w:r>
    </w:p>
    <w:p>
      <w:pPr>
        <w:pStyle w:val="null3"/>
        <w:ind w:firstLine="480"/>
        <w:jc w:val="left"/>
      </w:pPr>
      <w:r>
        <w:rPr/>
        <w:t>（五）提出的成交候选供应商的排序名单及理由。</w:t>
      </w:r>
    </w:p>
    <w:p>
      <w:pPr>
        <w:pStyle w:val="null3"/>
        <w:ind w:firstLine="480"/>
        <w:jc w:val="left"/>
      </w:pPr>
      <w:r>
        <w:rPr/>
        <w:t>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ind w:firstLine="480"/>
        <w:jc w:val="left"/>
        <w:outlineLvl w:val="3"/>
      </w:pPr>
      <w:r>
        <w:rPr>
          <w:b/>
          <w:sz w:val="24"/>
        </w:rPr>
        <w:t>5.3.11评审争议处理规则</w:t>
      </w:r>
    </w:p>
    <w:p>
      <w:pPr>
        <w:pStyle w:val="null3"/>
        <w:ind w:firstLine="480"/>
        <w:jc w:val="left"/>
      </w:pPr>
      <w:r>
        <w:rPr/>
        <w:t>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ind w:firstLine="480"/>
        <w:jc w:val="left"/>
        <w:outlineLvl w:val="2"/>
      </w:pPr>
      <w:r>
        <w:rPr>
          <w:b/>
          <w:sz w:val="28"/>
        </w:rPr>
        <w:t>5.4评审办法及标准</w:t>
      </w:r>
    </w:p>
    <w:p>
      <w:pPr>
        <w:pStyle w:val="null3"/>
        <w:ind w:firstLine="480"/>
        <w:jc w:val="left"/>
      </w:pPr>
      <w:r>
        <w:rPr/>
        <w:t>一、磋商小组只对通过资格审查的响应文件，根据磋商文件的要求采用相同的评审程序、评分办法及标准进行评价和比较。</w:t>
      </w:r>
    </w:p>
    <w:p>
      <w:pPr>
        <w:pStyle w:val="null3"/>
        <w:ind w:firstLine="480"/>
        <w:jc w:val="left"/>
      </w:pPr>
      <w:r>
        <w:rPr/>
        <w:t>二、磋商小组成员应依据磋商文件规定的评分标准和方法独立对每个有效响应的文件进行评价、打分，然后汇总每个供应商每项评分因素的得分。</w:t>
      </w:r>
    </w:p>
    <w:p>
      <w:pPr>
        <w:pStyle w:val="null3"/>
        <w:ind w:firstLine="480"/>
        <w:jc w:val="left"/>
        <w:outlineLvl w:val="3"/>
      </w:pPr>
      <w:r>
        <w:rPr>
          <w:b/>
          <w:sz w:val="24"/>
        </w:rPr>
        <w:t>5.4.1评分办法</w:t>
      </w:r>
    </w:p>
    <w:p>
      <w:pPr>
        <w:pStyle w:val="null3"/>
        <w:ind w:firstLine="480"/>
        <w:jc w:val="left"/>
      </w:pPr>
      <w:r>
        <w:rPr/>
        <w:t>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ind w:firstLine="480"/>
        <w:jc w:val="left"/>
        <w:outlineLvl w:val="3"/>
      </w:pPr>
      <w:r>
        <w:rPr>
          <w:b/>
          <w:sz w:val="24"/>
        </w:rPr>
        <w:t>5.4.2评分标准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评审因素</w:t>
            </w:r>
          </w:p>
        </w:tc>
        <w:tc>
          <w:tcPr>
            <w:tcW w:type="dxa" w:w="5815"/>
            <w:gridSpan w:val="4"/>
          </w:tcPr>
          <w:p>
            <w:pPr>
              <w:pStyle w:val="null3"/>
              <w:jc w:val="center"/>
            </w:pPr>
            <w:r>
              <w:rPr/>
              <w:t>评审标准</w:t>
            </w:r>
          </w:p>
        </w:tc>
      </w:tr>
      <w:tr>
        <w:tc>
          <w:tcPr>
            <w:tcW w:type="dxa" w:w="2492"/>
            <w:gridSpan w:val="2"/>
          </w:tcPr>
          <w:p>
            <w:pPr>
              <w:pStyle w:val="null3"/>
              <w:jc w:val="center"/>
            </w:pPr>
            <w:r>
              <w:rPr/>
              <w:t>分值构成</w:t>
            </w:r>
          </w:p>
        </w:tc>
        <w:tc>
          <w:tcPr>
            <w:tcW w:type="dxa" w:w="5815"/>
            <w:gridSpan w:val="4"/>
          </w:tcPr>
          <w:p>
            <w:pPr>
              <w:pStyle w:val="null3"/>
              <w:jc w:val="left"/>
            </w:pPr>
            <w:r>
              <w:rPr/>
              <w:t>详细评审100.00分</w:t>
            </w:r>
          </w:p>
        </w:tc>
      </w:tr>
      <w:tr>
        <w:tc>
          <w:tcPr>
            <w:tcW w:type="dxa" w:w="831"/>
          </w:tcPr>
          <w:p>
            <w:pPr>
              <w:pStyle w:val="null3"/>
              <w:jc w:val="center"/>
            </w:pPr>
            <w:r>
              <w:rPr/>
              <w:t>评审因素分类</w:t>
            </w:r>
          </w:p>
        </w:tc>
        <w:tc>
          <w:tcPr>
            <w:tcW w:type="dxa" w:w="1661"/>
          </w:tcPr>
          <w:p>
            <w:pPr>
              <w:pStyle w:val="null3"/>
              <w:jc w:val="center"/>
            </w:pPr>
            <w:r>
              <w:rPr/>
              <w:t>评审项</w:t>
            </w:r>
          </w:p>
        </w:tc>
        <w:tc>
          <w:tcPr>
            <w:tcW w:type="dxa" w:w="2492"/>
          </w:tcPr>
          <w:p>
            <w:pPr>
              <w:pStyle w:val="null3"/>
              <w:jc w:val="center"/>
            </w:pPr>
            <w:r>
              <w:rPr/>
              <w:t>详细描述</w:t>
            </w:r>
          </w:p>
        </w:tc>
        <w:tc>
          <w:tcPr>
            <w:tcW w:type="dxa" w:w="831"/>
          </w:tcPr>
          <w:p>
            <w:pPr>
              <w:pStyle w:val="null3"/>
              <w:jc w:val="center"/>
            </w:pPr>
            <w:r>
              <w:rPr/>
              <w:t>分值</w:t>
            </w:r>
          </w:p>
        </w:tc>
        <w:tc>
          <w:tcPr>
            <w:tcW w:type="dxa" w:w="831"/>
          </w:tcPr>
          <w:p>
            <w:pPr>
              <w:pStyle w:val="null3"/>
              <w:jc w:val="center"/>
            </w:pPr>
            <w:r>
              <w:rPr/>
              <w:t>客观/主观</w:t>
            </w:r>
          </w:p>
        </w:tc>
        <w:tc>
          <w:tcPr>
            <w:tcW w:type="dxa" w:w="1661"/>
          </w:tcPr>
          <w:p>
            <w:pPr>
              <w:pStyle w:val="null3"/>
              <w:jc w:val="center"/>
            </w:pPr>
            <w:r>
              <w:rPr/>
              <w:t>关联格式</w:t>
            </w:r>
          </w:p>
        </w:tc>
      </w:tr>
      <w:tr>
        <w:tc>
          <w:tcPr>
            <w:tcW w:type="dxa" w:w="831"/>
            <w:vMerge w:val="restart"/>
          </w:tcPr>
          <w:p>
            <w:pPr>
              <w:pStyle w:val="null3"/>
              <w:jc w:val="left"/>
            </w:pPr>
            <w:r>
              <w:rPr/>
              <w:t>详细评审</w:t>
            </w:r>
          </w:p>
        </w:tc>
        <w:tc>
          <w:tcPr>
            <w:tcW w:type="dxa" w:w="1661"/>
          </w:tcPr>
          <w:p>
            <w:pPr>
              <w:pStyle w:val="null3"/>
              <w:jc w:val="left"/>
            </w:pPr>
            <w:r>
              <w:rPr/>
              <w:t>项目的组织实施方案</w:t>
            </w:r>
          </w:p>
        </w:tc>
        <w:tc>
          <w:tcPr>
            <w:tcW w:type="dxa" w:w="2492"/>
          </w:tcPr>
          <w:p>
            <w:pPr>
              <w:pStyle w:val="null3"/>
              <w:jc w:val="left"/>
            </w:pPr>
            <w:r>
              <w:rPr/>
              <w:t>供应商提供的针对本项目的组织实施方案（包括进度计划；技术路线；外业资料收集；划分地价区段；布设标准宗地；采集监测数据；测算监测指标；形成监测分析报告；形成监测体系成果；质量保证及后续服务措施） 1、每提供一项得1分，最多得10分。 2、在上述得分基础上，每有一项内容齐全且完全涵盖需求内容、完全满足本项目实际情况要求的加2.6分；最多加26分。</w:t>
            </w:r>
          </w:p>
        </w:tc>
        <w:tc>
          <w:tcPr>
            <w:tcW w:type="dxa" w:w="831"/>
          </w:tcPr>
          <w:p>
            <w:pPr>
              <w:pStyle w:val="null3"/>
              <w:jc w:val="right"/>
            </w:pPr>
            <w:r>
              <w:rPr/>
              <w:t>36.00</w:t>
            </w:r>
          </w:p>
        </w:tc>
        <w:tc>
          <w:tcPr>
            <w:tcW w:type="dxa" w:w="831"/>
          </w:tcPr>
          <w:p>
            <w:pPr>
              <w:pStyle w:val="null3"/>
              <w:jc w:val="left"/>
            </w:pPr>
            <w:r>
              <w:rPr/>
              <w:t>主观</w:t>
            </w:r>
          </w:p>
        </w:tc>
        <w:tc>
          <w:tcPr>
            <w:tcW w:type="dxa" w:w="1661"/>
          </w:tcPr>
          <w:p>
            <w:pPr>
              <w:pStyle w:val="null3"/>
              <w:jc w:val="left"/>
            </w:pPr>
            <w:r>
              <w:rPr/>
              <w:t>其他相关证明材料</w:t>
            </w:r>
          </w:p>
        </w:tc>
      </w:tr>
      <w:tr>
        <w:tc>
          <w:tcPr>
            <w:tcW w:type="dxa" w:w="831"/>
            <w:vMerge/>
          </w:tcPr>
          <w:p/>
        </w:tc>
        <w:tc>
          <w:tcPr>
            <w:tcW w:type="dxa" w:w="1661"/>
          </w:tcPr>
          <w:p>
            <w:pPr>
              <w:pStyle w:val="null3"/>
              <w:jc w:val="left"/>
            </w:pPr>
            <w:r>
              <w:rPr/>
              <w:t>服务团队能力</w:t>
            </w:r>
          </w:p>
        </w:tc>
        <w:tc>
          <w:tcPr>
            <w:tcW w:type="dxa" w:w="2492"/>
          </w:tcPr>
          <w:p>
            <w:pPr>
              <w:pStyle w:val="null3"/>
              <w:jc w:val="left"/>
            </w:pPr>
            <w:r>
              <w:rPr/>
              <w:t>（1）项目负责人(1人):具有注册土地估价师得4分，具有地籍测绘员证书加4分，具有高级及以上技术职称（国土资源管理专业类)加4分，本项最高得12分； （2）技术人员:具有高级及以上职称得3分/人，具有中级职称的得2分/人，本项最高得11分； （3）拟参与本项目的主要技术人员具备注册土地估价师10人得4分，每增加1人得1分，本项最高得10分。 注：以上人员不重复计分，提供证书复印件并加盖公章。</w:t>
            </w:r>
          </w:p>
        </w:tc>
        <w:tc>
          <w:tcPr>
            <w:tcW w:type="dxa" w:w="831"/>
          </w:tcPr>
          <w:p>
            <w:pPr>
              <w:pStyle w:val="null3"/>
              <w:jc w:val="right"/>
            </w:pPr>
            <w:r>
              <w:rPr/>
              <w:t>33.00</w:t>
            </w:r>
          </w:p>
        </w:tc>
        <w:tc>
          <w:tcPr>
            <w:tcW w:type="dxa" w:w="831"/>
          </w:tcPr>
          <w:p>
            <w:pPr>
              <w:pStyle w:val="null3"/>
              <w:jc w:val="left"/>
            </w:pPr>
            <w:r>
              <w:rPr/>
              <w:t>客观</w:t>
            </w:r>
          </w:p>
        </w:tc>
        <w:tc>
          <w:tcPr>
            <w:tcW w:type="dxa" w:w="1661"/>
          </w:tcPr>
          <w:p>
            <w:pPr>
              <w:pStyle w:val="null3"/>
              <w:jc w:val="left"/>
            </w:pPr>
            <w:r>
              <w:rPr/>
              <w:t>其他相关证明材料</w:t>
            </w:r>
          </w:p>
        </w:tc>
      </w:tr>
      <w:tr>
        <w:tc>
          <w:tcPr>
            <w:tcW w:type="dxa" w:w="831"/>
            <w:vMerge/>
          </w:tcPr>
          <w:p/>
        </w:tc>
        <w:tc>
          <w:tcPr>
            <w:tcW w:type="dxa" w:w="1661"/>
          </w:tcPr>
          <w:p>
            <w:pPr>
              <w:pStyle w:val="null3"/>
              <w:jc w:val="left"/>
            </w:pPr>
            <w:r>
              <w:rPr/>
              <w:t>履约能力</w:t>
            </w:r>
          </w:p>
        </w:tc>
        <w:tc>
          <w:tcPr>
            <w:tcW w:type="dxa" w:w="2492"/>
          </w:tcPr>
          <w:p>
            <w:pPr>
              <w:pStyle w:val="null3"/>
              <w:jc w:val="left"/>
            </w:pPr>
            <w:r>
              <w:rPr/>
              <w:t>供应商自2020年1月1日（含）以来（验收日期），每完成1个地价动态监测类似项目的得3分，本项最高得21分。注：提供有效的项目合同复印件。</w:t>
            </w:r>
          </w:p>
        </w:tc>
        <w:tc>
          <w:tcPr>
            <w:tcW w:type="dxa" w:w="831"/>
          </w:tcPr>
          <w:p>
            <w:pPr>
              <w:pStyle w:val="null3"/>
              <w:jc w:val="right"/>
            </w:pPr>
            <w:r>
              <w:rPr/>
              <w:t>21.00</w:t>
            </w:r>
          </w:p>
        </w:tc>
        <w:tc>
          <w:tcPr>
            <w:tcW w:type="dxa" w:w="831"/>
          </w:tcPr>
          <w:p>
            <w:pPr>
              <w:pStyle w:val="null3"/>
              <w:jc w:val="left"/>
            </w:pPr>
            <w:r>
              <w:rPr/>
              <w:t>客观</w:t>
            </w:r>
          </w:p>
        </w:tc>
        <w:tc>
          <w:tcPr>
            <w:tcW w:type="dxa" w:w="1661"/>
          </w:tcPr>
          <w:p>
            <w:pPr>
              <w:pStyle w:val="null3"/>
              <w:jc w:val="left"/>
            </w:pPr>
            <w:r>
              <w:rPr/>
              <w:t>其他相关证明材料</w:t>
            </w:r>
          </w:p>
        </w:tc>
      </w:tr>
      <w:tr>
        <w:tc>
          <w:tcPr>
            <w:tcW w:type="dxa" w:w="831"/>
            <w:vMerge/>
          </w:tcPr>
          <w:p/>
        </w:tc>
        <w:tc>
          <w:tcPr>
            <w:tcW w:type="dxa" w:w="1661"/>
          </w:tcPr>
          <w:p>
            <w:pPr>
              <w:pStyle w:val="null3"/>
              <w:jc w:val="left"/>
            </w:pPr>
            <w:r>
              <w:rPr/>
              <w:t>价格分</w:t>
            </w:r>
          </w:p>
        </w:tc>
        <w:tc>
          <w:tcPr>
            <w:tcW w:type="dxa" w:w="2492"/>
          </w:tcPr>
          <w:p>
            <w:pPr>
              <w:pStyle w:val="null3"/>
              <w:jc w:val="left"/>
            </w:pPr>
            <w:r>
              <w:rPr/>
              <w:t>以满足采购文件要求且价格最低的最后报价为评审基准价，其报价得分为满分。其他最后报价得分统一按照下列公式计算： 最后报价得分=（评审基准价/最后报价）×10。</w:t>
            </w:r>
          </w:p>
        </w:tc>
        <w:tc>
          <w:tcPr>
            <w:tcW w:type="dxa" w:w="831"/>
          </w:tcPr>
          <w:p>
            <w:pPr>
              <w:pStyle w:val="null3"/>
              <w:jc w:val="right"/>
            </w:pPr>
            <w:r>
              <w:rPr/>
              <w:t>10.00</w:t>
            </w:r>
          </w:p>
        </w:tc>
        <w:tc>
          <w:tcPr>
            <w:tcW w:type="dxa" w:w="831"/>
          </w:tcPr>
          <w:p>
            <w:pPr>
              <w:pStyle w:val="null3"/>
              <w:jc w:val="left"/>
            </w:pPr>
            <w:r>
              <w:rPr/>
              <w:t>客观</w:t>
            </w:r>
          </w:p>
        </w:tc>
        <w:tc>
          <w:tcPr>
            <w:tcW w:type="dxa" w:w="1661"/>
          </w:tcPr>
          <w:p>
            <w:pPr>
              <w:pStyle w:val="null3"/>
              <w:jc w:val="left"/>
            </w:pPr>
            <w:r>
              <w:rPr/>
              <w:t>报价表</w:t>
            </w:r>
          </w:p>
          <w:p>
            <w:pPr>
              <w:pStyle w:val="null3"/>
              <w:jc w:val="left"/>
            </w:pPr>
            <w:r>
              <w:rPr/>
              <w:t>分项报价表</w:t>
            </w:r>
          </w:p>
        </w:tc>
      </w:tr>
    </w:tbl>
    <w:p>
      <w:pPr>
        <w:pStyle w:val="null3"/>
        <w:jc w:val="left"/>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t>序号</w:t>
            </w:r>
          </w:p>
        </w:tc>
        <w:tc>
          <w:tcPr>
            <w:tcW w:type="dxa" w:w="1661"/>
          </w:tcPr>
          <w:p>
            <w:pPr>
              <w:pStyle w:val="null3"/>
              <w:jc w:val="left"/>
            </w:pPr>
            <w:r>
              <w:rPr/>
              <w:t>情形</w:t>
            </w:r>
          </w:p>
        </w:tc>
        <w:tc>
          <w:tcPr>
            <w:tcW w:type="dxa" w:w="1661"/>
          </w:tcPr>
          <w:p>
            <w:pPr>
              <w:pStyle w:val="null3"/>
              <w:jc w:val="left"/>
            </w:pPr>
            <w:r>
              <w:rPr/>
              <w:t>适用对象</w:t>
            </w:r>
          </w:p>
        </w:tc>
        <w:tc>
          <w:tcPr>
            <w:tcW w:type="dxa" w:w="831"/>
          </w:tcPr>
          <w:p>
            <w:pPr>
              <w:pStyle w:val="null3"/>
              <w:jc w:val="left"/>
            </w:pPr>
            <w:r>
              <w:rPr/>
              <w:t>比例</w:t>
            </w:r>
          </w:p>
        </w:tc>
        <w:tc>
          <w:tcPr>
            <w:tcW w:type="dxa" w:w="1661"/>
          </w:tcPr>
          <w:p>
            <w:pPr>
              <w:pStyle w:val="null3"/>
              <w:jc w:val="left"/>
            </w:pPr>
            <w:r>
              <w:rPr/>
              <w:t>说明</w:t>
            </w:r>
          </w:p>
        </w:tc>
        <w:tc>
          <w:tcPr>
            <w:tcW w:type="dxa" w:w="1661"/>
          </w:tcPr>
          <w:p>
            <w:pPr>
              <w:pStyle w:val="null3"/>
              <w:jc w:val="left"/>
            </w:pPr>
            <w:r>
              <w:rPr/>
              <w:t>关联格式</w:t>
            </w:r>
          </w:p>
        </w:tc>
      </w:tr>
      <w:tr>
        <w:tc>
          <w:tcPr>
            <w:tcW w:type="dxa" w:w="8306"/>
            <w:gridSpan w:val="6"/>
          </w:tcPr>
          <w:p>
            <w:pPr>
              <w:pStyle w:val="null3"/>
              <w:jc w:val="left"/>
            </w:pPr>
            <w:r>
              <w:rPr/>
              <w:t>无</w:t>
            </w:r>
          </w:p>
        </w:tc>
      </w:tr>
    </w:tbl>
    <w:p>
      <w:pPr>
        <w:pStyle w:val="null3"/>
        <w:ind w:firstLine="480"/>
        <w:jc w:val="left"/>
      </w:pPr>
      <w:r>
        <w:rPr/>
        <w:t>说明：</w:t>
      </w:r>
    </w:p>
    <w:p>
      <w:pPr>
        <w:pStyle w:val="null3"/>
        <w:ind w:firstLine="480"/>
        <w:jc w:val="left"/>
      </w:pPr>
      <w:r>
        <w:rPr/>
        <w:t>1、所有的评分、价格等涉及小数计算，先四舍五入再计算；</w:t>
      </w:r>
    </w:p>
    <w:p>
      <w:pPr>
        <w:pStyle w:val="null3"/>
        <w:ind w:firstLine="480"/>
        <w:jc w:val="left"/>
      </w:pPr>
      <w:r>
        <w:rPr/>
        <w:t>2、评分标准中要求提供的证明材料须清晰可辨。</w:t>
      </w:r>
    </w:p>
    <w:p>
      <w:pPr>
        <w:pStyle w:val="null3"/>
        <w:ind w:firstLine="480"/>
        <w:jc w:val="left"/>
        <w:outlineLvl w:val="2"/>
      </w:pPr>
      <w:r>
        <w:rPr>
          <w:b/>
          <w:sz w:val="28"/>
        </w:rPr>
        <w:t>5.5终止采购活动</w:t>
      </w:r>
    </w:p>
    <w:p>
      <w:pPr>
        <w:pStyle w:val="null3"/>
        <w:ind w:firstLine="480"/>
        <w:jc w:val="left"/>
      </w:pPr>
      <w:r>
        <w:rPr/>
        <w:t>出现下列情形之一的，采购人或者代理机构应当终止竞争性磋商采购活动，发布项目终止公告并说明原因，重新开展采购活动：</w:t>
      </w:r>
    </w:p>
    <w:p>
      <w:pPr>
        <w:pStyle w:val="null3"/>
        <w:ind w:firstLine="480"/>
        <w:jc w:val="left"/>
      </w:pPr>
      <w:r>
        <w:rPr/>
        <w:t>（一）因情况变化，不再符合规定的竞争性磋商采购方式适用情形的；</w:t>
      </w:r>
    </w:p>
    <w:p>
      <w:pPr>
        <w:pStyle w:val="null3"/>
        <w:ind w:firstLine="480"/>
        <w:jc w:val="left"/>
      </w:pPr>
      <w:r>
        <w:rPr/>
        <w:t>（二）出现影响采购公正的违法、违规行为的；</w:t>
      </w:r>
    </w:p>
    <w:p>
      <w:pPr>
        <w:pStyle w:val="null3"/>
        <w:ind w:firstLine="480"/>
        <w:jc w:val="left"/>
      </w:pPr>
      <w:r>
        <w:rPr/>
        <w:t>（三）除《政府采购竞争性磋商采购方式管理暂行办法》第二十一条第三款规定的情形外，在采购过程中符合要求的供应商或者报价未超过采购预算的供应商不足3家的（财政部另有规定的除外）；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jc w:val="left"/>
      </w:pPr>
      <w:r>
        <w:rPr/>
        <w:t>（四）法律法规规定的其他情形。</w:t>
      </w:r>
    </w:p>
    <w:p>
      <w:pPr>
        <w:pStyle w:val="null3"/>
        <w:ind w:firstLine="480"/>
        <w:jc w:val="left"/>
        <w:outlineLvl w:val="2"/>
      </w:pPr>
      <w:r>
        <w:rPr>
          <w:b/>
          <w:sz w:val="28"/>
        </w:rPr>
        <w:t>5.6确定成交供应商</w:t>
      </w:r>
    </w:p>
    <w:p>
      <w:pPr>
        <w:pStyle w:val="null3"/>
        <w:jc w:val="left"/>
      </w:pPr>
    </w:p>
    <w:p>
      <w:pPr>
        <w:pStyle w:val="null3"/>
        <w:jc w:val="left"/>
      </w:pPr>
    </w:p>
    <w:p>
      <w:pPr>
        <w:pStyle w:val="null3"/>
        <w:jc w:val="left"/>
      </w:pPr>
      <w:r>
        <w:rPr/>
        <w:t>本项目授权磋商小组直接确认成交供应商，确认后代理机构在四川政府采购网上发布成交结果公告，同时向成交供应商发出成交通知书。</w:t>
      </w:r>
    </w:p>
    <w:p>
      <w:pPr>
        <w:pStyle w:val="null3"/>
        <w:ind w:firstLine="480"/>
        <w:jc w:val="left"/>
        <w:outlineLvl w:val="2"/>
      </w:pPr>
      <w:r>
        <w:rPr>
          <w:b/>
          <w:sz w:val="28"/>
        </w:rPr>
        <w:t>5.7评审专家在政府采购活动中承担以下义务</w:t>
      </w:r>
    </w:p>
    <w:p>
      <w:pPr>
        <w:pStyle w:val="null3"/>
        <w:ind w:firstLine="480"/>
        <w:jc w:val="left"/>
      </w:pPr>
      <w:r>
        <w:rPr/>
        <w:t>（一）遵守评审工作纪律；</w:t>
      </w:r>
    </w:p>
    <w:p>
      <w:pPr>
        <w:pStyle w:val="null3"/>
        <w:ind w:firstLine="480"/>
        <w:jc w:val="left"/>
      </w:pPr>
      <w:r>
        <w:rPr/>
        <w:t>（二）按照客观、公正、审慎的原则，根据采购文件规定的评审程序、评审方法和评审标准进行独立评审；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jc w:val="left"/>
      </w:pPr>
      <w:r>
        <w:rPr/>
        <w:t>（五）发现采购文件内容违反国家有关强制性规定或者存在歧义、重大缺陷导致评审工作无法进行时，停止评审并通过项目电子化交易系统向采购组织单位书面说明情况，说明停止评审的情形和具体理由；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ind w:firstLine="480"/>
        <w:jc w:val="left"/>
        <w:outlineLvl w:val="2"/>
      </w:pPr>
      <w:r>
        <w:rPr>
          <w:b/>
          <w:sz w:val="28"/>
        </w:rPr>
        <w:t>5.8评审专家在政府采购活动中应当遵守以下工作纪律</w:t>
      </w:r>
    </w:p>
    <w:p>
      <w:pPr>
        <w:pStyle w:val="null3"/>
        <w:ind w:firstLine="480"/>
        <w:jc w:val="left"/>
      </w:pPr>
      <w:r>
        <w:rPr/>
        <w:t>（一）遵行《中华人民共和国政府采购法》第十二条和《中华人民共和国政府采购法实施条例》第九条及财政部关于回避的规定。</w:t>
      </w:r>
    </w:p>
    <w:p>
      <w:pPr>
        <w:pStyle w:val="null3"/>
        <w:ind w:firstLine="480"/>
        <w:jc w:val="left"/>
      </w:pPr>
      <w:r>
        <w:rPr/>
        <w:t>（二）评审前，应当将通讯工具或者相关电子设备交由采购组织单位统一保管。</w:t>
      </w:r>
    </w:p>
    <w:p>
      <w:pPr>
        <w:pStyle w:val="null3"/>
        <w:ind w:firstLine="480"/>
        <w:jc w:val="left"/>
      </w:pPr>
      <w:r>
        <w:rPr/>
        <w:t>（三）评审过程中，不得与外界联系，因发生不可预见情况，确实需要与外界联系的，         应当在监督人员监督之下办理。</w:t>
      </w:r>
    </w:p>
    <w:p>
      <w:pPr>
        <w:pStyle w:val="null3"/>
        <w:ind w:firstLine="480"/>
        <w:jc w:val="left"/>
      </w:pPr>
      <w:r>
        <w:rPr/>
        <w:t>（四）评审过程中，不得干预或者影响正常评审工作，不得发表倾向性、引导性意见，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履行《四川省政府采购评审工作规程（修订）》（川财采〔2016〕53号）第十三条第（六）项规定的义务外，不得向外界透露评审内容。</w:t>
      </w:r>
    </w:p>
    <w:p>
      <w:pPr>
        <w:pStyle w:val="null3"/>
        <w:ind w:firstLine="480"/>
        <w:jc w:val="left"/>
      </w:pPr>
      <w:r>
        <w:rPr/>
        <w:t>（六）服从评审现场采购组织单位的现场秩序管理，接受评审现场监督人员的合法监督。</w:t>
      </w:r>
    </w:p>
    <w:p>
      <w:pPr>
        <w:pStyle w:val="null3"/>
        <w:ind w:firstLine="480"/>
        <w:jc w:val="left"/>
      </w:pPr>
      <w:r>
        <w:rPr/>
        <w:t>（七）遵守有关廉洁自律规定，不得私下接触供应商，不得收受供应商及有关业务单位和个人的财物或好处，不得接受采购组织单位的请托。</w:t>
      </w:r>
    </w:p>
    <w:p>
      <w:pPr>
        <w:pStyle w:val="null3"/>
        <w:jc w:val="left"/>
      </w:pPr>
    </w:p>
    <w:p>
      <w:pPr>
        <w:pStyle w:val="null3"/>
        <w:ind w:firstLine="480"/>
        <w:jc w:val="left"/>
      </w:pPr>
      <w:r>
        <w:rPr/>
        <w:t xml:space="preserve"> </w:t>
      </w:r>
    </w:p>
    <w:p>
      <w:pPr>
        <w:pStyle w:val="null3"/>
        <w:ind w:firstLine="480"/>
        <w:jc w:val="center"/>
        <w:outlineLvl w:val="1"/>
      </w:pPr>
      <w:r>
        <w:rPr>
          <w:b/>
          <w:sz w:val="36"/>
        </w:rPr>
        <w:t>第六章 响应文件格式</w:t>
      </w:r>
    </w:p>
    <w:p>
      <w:pPr>
        <w:pStyle w:val="null3"/>
        <w:jc w:val="left"/>
      </w:pPr>
    </w:p>
    <w:p>
      <w:pPr>
        <w:pStyle w:val="null3"/>
        <w:jc w:val="left"/>
      </w:pPr>
    </w:p>
    <w:p>
      <w:pPr>
        <w:pStyle w:val="null3"/>
        <w:jc w:val="left"/>
      </w:pPr>
    </w:p>
    <w:p>
      <w:pPr>
        <w:pStyle w:val="null3"/>
        <w:jc w:val="left"/>
      </w:pPr>
      <w:r>
        <w:rPr/>
        <w:t>采购包1：</w:t>
      </w:r>
    </w:p>
    <w:p>
      <w:pPr>
        <w:pStyle w:val="null3"/>
        <w:jc w:val="left"/>
      </w:pPr>
      <w:r>
        <w:rPr/>
        <w:t>分册名称：投标响应文件分册</w:t>
      </w:r>
    </w:p>
    <w:p>
      <w:pPr>
        <w:pStyle w:val="null3"/>
        <w:ind w:firstLine="960"/>
        <w:jc w:val="left"/>
      </w:pPr>
      <w:r>
        <w:rPr/>
        <w:t>详见附件：响应文件封面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详见附件：供应商应提交的相关资格证明材料</w:t>
      </w:r>
    </w:p>
    <w:p>
      <w:pPr>
        <w:pStyle w:val="null3"/>
        <w:ind w:firstLine="960"/>
        <w:jc w:val="left"/>
      </w:pPr>
      <w:r>
        <w:rPr/>
        <w:t>详见附件：商务应答表</w:t>
      </w:r>
    </w:p>
    <w:p>
      <w:pPr>
        <w:pStyle w:val="null3"/>
        <w:ind w:firstLine="960"/>
        <w:jc w:val="left"/>
      </w:pPr>
      <w:r>
        <w:rPr/>
        <w:t>详见附件：报价表</w:t>
      </w:r>
    </w:p>
    <w:p>
      <w:pPr>
        <w:pStyle w:val="null3"/>
        <w:ind w:firstLine="960"/>
        <w:jc w:val="left"/>
      </w:pPr>
      <w:r>
        <w:rPr/>
        <w:t>详见附件：分项报价表</w:t>
      </w:r>
    </w:p>
    <w:p>
      <w:pPr>
        <w:pStyle w:val="null3"/>
        <w:ind w:firstLine="960"/>
        <w:jc w:val="left"/>
      </w:pPr>
      <w:r>
        <w:rPr/>
        <w:t>详见附件：其他相关证明材料</w:t>
      </w:r>
    </w:p>
    <w:p>
      <w:pPr>
        <w:pStyle w:val="null3"/>
        <w:jc w:val="left"/>
      </w:pPr>
    </w:p>
    <w:p>
      <w:pPr>
        <w:pStyle w:val="null3"/>
        <w:ind w:firstLine="480"/>
        <w:jc w:val="left"/>
      </w:pPr>
      <w:r>
        <w:rPr/>
        <w:t xml:space="preserve"> </w:t>
      </w:r>
    </w:p>
    <w:p>
      <w:pPr>
        <w:pStyle w:val="null3"/>
        <w:ind w:firstLine="480"/>
        <w:jc w:val="center"/>
        <w:outlineLvl w:val="1"/>
      </w:pPr>
      <w:r>
        <w:rPr>
          <w:b/>
          <w:sz w:val="36"/>
        </w:rPr>
        <w:t>第七章 拟签订采购合同文本</w:t>
      </w:r>
    </w:p>
    <w:p>
      <w:pPr>
        <w:pStyle w:val="null3"/>
        <w:jc w:val="left"/>
      </w:pPr>
    </w:p>
    <w:p>
      <w:pPr>
        <w:pStyle w:val="null3"/>
        <w:jc w:val="left"/>
      </w:pPr>
    </w:p>
    <w:p>
      <w:pPr>
        <w:pStyle w:val="null3"/>
        <w:jc w:val="left"/>
      </w:pPr>
    </w:p>
    <w:p>
      <w:pPr>
        <w:pStyle w:val="null3"/>
        <w:jc w:val="left"/>
      </w:pPr>
    </w:p>
    <w:p>
      <w:pPr>
        <w:pStyle w:val="null3"/>
        <w:jc w:val="left"/>
      </w:pPr>
    </w:p>
    <w:p>
      <w:pPr>
        <w:pStyle w:val="null3"/>
        <w:ind w:firstLine="480"/>
        <w:jc w:val="center"/>
        <w:outlineLvl w:val="0"/>
      </w:pPr>
      <w:r>
        <w:rPr>
          <w:b/>
          <w:sz w:val="48"/>
        </w:rPr>
        <w:t>政府采购合同（服务类）</w:t>
      </w:r>
      <w:r>
        <w:br/>
      </w:r>
    </w:p>
    <w:p>
      <w:pPr>
        <w:pStyle w:val="null3"/>
        <w:jc w:val="left"/>
      </w:pPr>
      <w:r>
        <w:rPr/>
        <w:t>政府采购合同编号： __________________</w:t>
      </w:r>
    </w:p>
    <w:p>
      <w:pPr>
        <w:pStyle w:val="null3"/>
        <w:jc w:val="left"/>
      </w:pPr>
      <w:r>
        <w:rPr/>
        <w:t>履约地点：__________________</w:t>
      </w:r>
    </w:p>
    <w:p>
      <w:pPr>
        <w:pStyle w:val="null3"/>
        <w:jc w:val="left"/>
      </w:pPr>
      <w:r>
        <w:rPr/>
        <w:t>签订日期：20___年___月___日</w:t>
      </w:r>
    </w:p>
    <w:p>
      <w:pPr>
        <w:pStyle w:val="null3"/>
        <w:jc w:val="left"/>
      </w:pPr>
      <w:r>
        <w:rPr/>
        <w:t>签订地点：__________________</w:t>
      </w:r>
    </w:p>
    <w:p>
      <w:pPr>
        <w:pStyle w:val="null3"/>
        <w:jc w:val="left"/>
      </w:pPr>
      <w:r>
        <w:rPr/>
        <w:t>采购人（甲方）：__________________</w:t>
      </w:r>
    </w:p>
    <w:p>
      <w:pPr>
        <w:pStyle w:val="null3"/>
        <w:jc w:val="left"/>
      </w:pPr>
      <w:r>
        <w:rPr/>
        <w:t>地址：__________________</w:t>
      </w:r>
    </w:p>
    <w:p>
      <w:pPr>
        <w:pStyle w:val="null3"/>
        <w:jc w:val="left"/>
      </w:pPr>
      <w:r>
        <w:rPr/>
        <w:t>供应商(乙方)：__________________</w:t>
      </w:r>
    </w:p>
    <w:p>
      <w:pPr>
        <w:pStyle w:val="null3"/>
        <w:jc w:val="left"/>
      </w:pPr>
      <w:r>
        <w:rPr/>
        <w:t>地址：__________________</w:t>
      </w:r>
    </w:p>
    <w:p>
      <w:pPr>
        <w:pStyle w:val="null3"/>
        <w:jc w:val="left"/>
      </w:pPr>
      <w:r>
        <w:rPr/>
        <w:t>依据《中华人民共和国民法典》《中华人民共和国政府采购法》与项目行业有关的法律法规，以及XXX采购项目的</w:t>
      </w:r>
      <w:r>
        <w:rPr/>
        <w:t>《磋商文件》</w:t>
      </w:r>
      <w:r>
        <w:rPr/>
        <w:t>，乙方的《投标（响应）文件》及《中标（成交）通知书》，甲乙双方同意签订本合同。具体情况及要求如下</w:t>
      </w:r>
    </w:p>
    <w:p>
      <w:pPr>
        <w:pStyle w:val="null3"/>
        <w:jc w:val="left"/>
        <w:outlineLvl w:val="3"/>
      </w:pPr>
      <w:r>
        <w:rPr>
          <w:b/>
          <w:sz w:val="24"/>
        </w:rPr>
        <w:t>一、标的信息</w:t>
      </w:r>
      <w:r>
        <w:br/>
      </w:r>
    </w:p>
    <w:p>
      <w:pPr>
        <w:pStyle w:val="null3"/>
        <w:jc w:val="left"/>
        <w:outlineLvl w:val="3"/>
      </w:pPr>
      <w:r>
        <w:rPr>
          <w:b/>
          <w:sz w:val="24"/>
        </w:rPr>
        <w:t>二、服务要求</w:t>
      </w:r>
      <w:r>
        <w:br/>
      </w:r>
    </w:p>
    <w:p>
      <w:pPr>
        <w:pStyle w:val="null3"/>
        <w:jc w:val="left"/>
        <w:outlineLvl w:val="3"/>
      </w:pPr>
      <w:r>
        <w:rPr>
          <w:b/>
          <w:sz w:val="24"/>
        </w:rPr>
        <w:t>三、合同定价方式、付款进度和支付方式</w:t>
      </w:r>
      <w:r>
        <w:br/>
      </w:r>
    </w:p>
    <w:p>
      <w:pPr>
        <w:pStyle w:val="null3"/>
        <w:jc w:val="left"/>
        <w:outlineLvl w:val="3"/>
      </w:pPr>
      <w:r>
        <w:rPr>
          <w:b/>
          <w:sz w:val="24"/>
        </w:rPr>
        <w:t>四、履约保证金</w:t>
      </w:r>
      <w:r>
        <w:br/>
      </w:r>
    </w:p>
    <w:p>
      <w:pPr>
        <w:pStyle w:val="null3"/>
        <w:jc w:val="left"/>
        <w:outlineLvl w:val="3"/>
      </w:pPr>
      <w:r>
        <w:rPr>
          <w:b/>
          <w:sz w:val="24"/>
        </w:rPr>
        <w:t>五、验收标准和方法</w:t>
      </w:r>
      <w:r>
        <w:br/>
      </w:r>
    </w:p>
    <w:p>
      <w:pPr>
        <w:pStyle w:val="null3"/>
        <w:jc w:val="left"/>
        <w:outlineLvl w:val="3"/>
      </w:pPr>
      <w:r>
        <w:rPr>
          <w:b/>
          <w:sz w:val="24"/>
        </w:rPr>
        <w:t>六、甲方的权利和义务</w:t>
      </w:r>
    </w:p>
    <w:p>
      <w:pPr>
        <w:pStyle w:val="null3"/>
        <w:jc w:val="left"/>
      </w:pPr>
      <w:r>
        <w:rPr/>
        <w:t>1.甲方有权对合同规定范围内乙方的服务行为进行监督和检查，拥有监管权。有权定期核对乙方提供服务所配备的人员数量。对甲方认为不合理的部分XXX。</w:t>
      </w:r>
    </w:p>
    <w:p>
      <w:pPr>
        <w:pStyle w:val="null3"/>
        <w:jc w:val="left"/>
      </w:pPr>
      <w:r>
        <w:rPr/>
        <w:t>2.根据本合同规定，按时向乙方支付应付服务费用。</w:t>
      </w:r>
    </w:p>
    <w:p>
      <w:pPr>
        <w:pStyle w:val="null3"/>
        <w:jc w:val="left"/>
      </w:pPr>
      <w:r>
        <w:rPr/>
        <w:t>3.国家法律、法规所规定由甲方承担的其它责任。</w:t>
      </w:r>
    </w:p>
    <w:p>
      <w:pPr>
        <w:pStyle w:val="null3"/>
        <w:jc w:val="left"/>
      </w:pPr>
      <w:r>
        <w:rPr/>
        <w:t>......</w:t>
      </w:r>
    </w:p>
    <w:p>
      <w:pPr>
        <w:pStyle w:val="null3"/>
        <w:jc w:val="left"/>
        <w:outlineLvl w:val="3"/>
      </w:pPr>
      <w:r>
        <w:rPr>
          <w:b/>
          <w:sz w:val="24"/>
        </w:rPr>
        <w:t>七、乙方的权利和义务</w:t>
      </w:r>
    </w:p>
    <w:p>
      <w:pPr>
        <w:pStyle w:val="null3"/>
        <w:jc w:val="left"/>
      </w:pPr>
      <w:r>
        <w:rPr/>
        <w:t>1.根据本合同的约定向甲方收取相关服务费用。</w:t>
      </w:r>
    </w:p>
    <w:p>
      <w:pPr>
        <w:pStyle w:val="null3"/>
        <w:jc w:val="left"/>
      </w:pPr>
      <w:r>
        <w:rPr/>
        <w:t>2.接受项目行业管理部门及政府有关部门的指导，接受甲方的监督。</w:t>
      </w:r>
    </w:p>
    <w:p>
      <w:pPr>
        <w:pStyle w:val="null3"/>
        <w:jc w:val="left"/>
      </w:pPr>
      <w:r>
        <w:rPr/>
        <w:t>3.国家法律、法规所规定由乙方承担的其它责任。</w:t>
      </w:r>
    </w:p>
    <w:p>
      <w:pPr>
        <w:pStyle w:val="null3"/>
        <w:jc w:val="left"/>
      </w:pPr>
      <w:r>
        <w:rPr/>
        <w:t>......</w:t>
      </w:r>
    </w:p>
    <w:p>
      <w:pPr>
        <w:pStyle w:val="null3"/>
        <w:jc w:val="left"/>
        <w:outlineLvl w:val="3"/>
      </w:pPr>
      <w:r>
        <w:rPr>
          <w:b/>
          <w:sz w:val="24"/>
        </w:rPr>
        <w:t>八、违约责任</w:t>
      </w:r>
    </w:p>
    <w:p>
      <w:pPr>
        <w:pStyle w:val="null3"/>
        <w:jc w:val="left"/>
      </w:pPr>
      <w:r>
        <w:rPr/>
        <w:t>1.若甲方未按照合同约定逾期向乙方支付货物费用，每逾期一天，按应支付金额的X‰作为违约金支付给乙方，直至实际支付之日</w:t>
      </w:r>
    </w:p>
    <w:p>
      <w:pPr>
        <w:pStyle w:val="null3"/>
        <w:jc w:val="left"/>
      </w:pPr>
      <w:r>
        <w:rPr/>
        <w:t>2.因甲方原因导致变更、中止或者终止政府采购合同的，应对乙方受到的损失予以赔偿或者补偿。</w:t>
      </w:r>
    </w:p>
    <w:p>
      <w:pPr>
        <w:pStyle w:val="null3"/>
        <w:jc w:val="left"/>
      </w:pPr>
      <w:r>
        <w:rPr/>
        <w:t>......</w:t>
      </w:r>
    </w:p>
    <w:p>
      <w:pPr>
        <w:pStyle w:val="null3"/>
        <w:jc w:val="left"/>
        <w:outlineLvl w:val="3"/>
      </w:pPr>
      <w:r>
        <w:rPr>
          <w:b/>
          <w:sz w:val="24"/>
        </w:rPr>
        <w:t>九、不可抗事件处理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2.受阻一方应在不可抗力事件发生后尽快用电话通知对方并于事故发生后XX天内将有关部门出具的证明文件等用特快专递或挂号信寄给对方审阅确认。</w:t>
      </w:r>
    </w:p>
    <w:p>
      <w:pPr>
        <w:pStyle w:val="null3"/>
        <w:jc w:val="left"/>
      </w:pPr>
      <w:r>
        <w:rPr/>
        <w:t>3.不可抗力事件延续XX天以上，双方应通过友好协商，确定是否继续履行合同</w:t>
      </w:r>
    </w:p>
    <w:p>
      <w:pPr>
        <w:pStyle w:val="null3"/>
        <w:jc w:val="left"/>
      </w:pPr>
      <w:r>
        <w:rPr/>
        <w:t>......</w:t>
      </w:r>
    </w:p>
    <w:p>
      <w:pPr>
        <w:pStyle w:val="null3"/>
        <w:jc w:val="left"/>
        <w:outlineLvl w:val="3"/>
      </w:pPr>
      <w:r>
        <w:rPr>
          <w:b/>
          <w:sz w:val="24"/>
        </w:rPr>
        <w:t>十、解决合同纠纷的方式</w:t>
      </w:r>
      <w:r>
        <w:br/>
      </w:r>
    </w:p>
    <w:p>
      <w:pPr>
        <w:pStyle w:val="null3"/>
        <w:jc w:val="left"/>
        <w:outlineLvl w:val="3"/>
      </w:pPr>
      <w:r>
        <w:rPr>
          <w:b/>
          <w:sz w:val="24"/>
        </w:rPr>
        <w:t>十一、合同生效及其他</w:t>
      </w:r>
    </w:p>
    <w:p>
      <w:pPr>
        <w:pStyle w:val="null3"/>
        <w:jc w:val="left"/>
      </w:pP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r>
        <w:br/>
      </w:r>
      <w:r>
        <w:br/>
      </w:r>
      <w:r>
        <w:br/>
      </w:r>
      <w:r>
        <w:br/>
      </w:r>
      <w:r>
        <w:br/>
      </w:r>
    </w:p>
    <w:p>
      <w:pPr>
        <w:pStyle w:val="null3"/>
        <w:jc w:val="left"/>
      </w:pPr>
    </w:p>
    <w:p>
      <w:pPr>
        <w:pStyle w:val="null3"/>
        <w:jc w:val="left"/>
      </w:pPr>
    </w:p>
    <w:p>
      <w:pPr>
        <w:pStyle w:val="null3"/>
        <w:ind w:firstLine="480"/>
        <w:jc w:val="left"/>
      </w:pPr>
    </w:p>
    <w:p>
      <w:pPr>
        <w:pStyle w:val="null3"/>
        <w:jc w:val="left"/>
      </w:pPr>
      <w:r>
        <w:rPr/>
        <w:t>甲方： （盖章）</w:t>
      </w:r>
    </w:p>
    <w:p>
      <w:pPr>
        <w:pStyle w:val="null3"/>
        <w:jc w:val="left"/>
      </w:pPr>
      <w:r>
        <w:rPr/>
        <w:t>法定（授权）代表人：</w:t>
      </w:r>
    </w:p>
    <w:p>
      <w:pPr>
        <w:pStyle w:val="null3"/>
        <w:jc w:val="left"/>
      </w:pPr>
      <w:r>
        <w:rPr/>
        <w:t>地 址：</w:t>
      </w:r>
    </w:p>
    <w:p>
      <w:pPr>
        <w:pStyle w:val="null3"/>
        <w:jc w:val="left"/>
      </w:pPr>
      <w:r>
        <w:rPr/>
        <w:t>开户银行：</w:t>
      </w:r>
    </w:p>
    <w:p>
      <w:pPr>
        <w:pStyle w:val="null3"/>
        <w:jc w:val="left"/>
      </w:pPr>
      <w:r>
        <w:rPr/>
        <w:t>账号：</w:t>
      </w:r>
    </w:p>
    <w:p>
      <w:pPr>
        <w:pStyle w:val="null3"/>
        <w:jc w:val="left"/>
      </w:pPr>
      <w:r>
        <w:rPr/>
        <w:t>签订日期：  年   月   日</w:t>
      </w:r>
    </w:p>
    <w:p>
      <w:pPr>
        <w:pStyle w:val="null3"/>
        <w:ind w:firstLine="480"/>
        <w:jc w:val="left"/>
      </w:pPr>
    </w:p>
    <w:p>
      <w:pPr>
        <w:pStyle w:val="null3"/>
        <w:spacing w:after="375"/>
        <w:ind w:firstLine="480"/>
        <w:jc w:val="left"/>
      </w:pPr>
    </w:p>
    <w:p>
      <w:pPr>
        <w:pStyle w:val="null3"/>
        <w:jc w:val="left"/>
      </w:pPr>
      <w:r>
        <w:rPr/>
        <w:t>乙方：(盖章）</w:t>
      </w:r>
    </w:p>
    <w:p>
      <w:pPr>
        <w:pStyle w:val="null3"/>
        <w:jc w:val="left"/>
      </w:pPr>
      <w:r>
        <w:rPr/>
        <w:t>法定（授权）代表人：</w:t>
      </w:r>
    </w:p>
    <w:p>
      <w:pPr>
        <w:pStyle w:val="null3"/>
        <w:jc w:val="left"/>
      </w:pPr>
      <w:r>
        <w:rPr/>
        <w:t>地 址：</w:t>
      </w:r>
    </w:p>
    <w:p>
      <w:pPr>
        <w:pStyle w:val="null3"/>
        <w:jc w:val="left"/>
      </w:pPr>
      <w:r>
        <w:rPr/>
        <w:t>开户银行：</w:t>
      </w:r>
    </w:p>
    <w:p>
      <w:pPr>
        <w:pStyle w:val="null3"/>
        <w:jc w:val="left"/>
      </w:pPr>
      <w:r>
        <w:rPr/>
        <w:t>账号：</w:t>
      </w:r>
    </w:p>
    <w:p>
      <w:pPr>
        <w:pStyle w:val="null3"/>
        <w:jc w:val="left"/>
      </w:pPr>
      <w:r>
        <w:rPr/>
        <w:t>签订日期：  年   月   日</w:t>
      </w:r>
    </w:p>
    <w:p>
      <w:pPr>
        <w:pStyle w:val="null3"/>
        <w:jc w:val="left"/>
      </w:pPr>
    </w:p>
    <w:p>
      <w:pPr>
        <w:pStyle w:val="null3"/>
        <w:ind w:firstLine="480"/>
        <w:jc w:val="left"/>
      </w:pPr>
      <w:r>
        <w:rPr/>
        <w:t xml:space="preserve"> </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